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تنصل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والشمول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المطلقين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ومتقلب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الاستثمارية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ينطوي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والخسارة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تتكبدها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ت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وقانونيتها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ملاءمتها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والمسؤولية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الانخراط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