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免责声明</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本免责声明（以下简称“声明”）适用于与股票（以下简称“股票”）相关的一切内容、材料、信息和数据（以下统称为“内容”）。在使用本网站/平台（以下简称“平台”）提供的股票信息之前，请仔细阅读并理解本声明。</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 信息准确性和完整性</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1.1 平台上提供的股票信息力求准确、全面，但无法保证其绝对准确性和完整性。股票市场具有高度复杂性和波动性，因此，用户应意识到股票信息可能受多种因素的影响，包括但不限于市场变化、公司财务状况和行业趋势等。</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1.2 用户在使用股票信息进行任何投资决策前，应自行进行充分的研究、分析和评估，并咨询专业的金融顾问或投资专家。</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2. 风险承担和投资决策</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2.1 股票市场具有风险性和不确定性，股票投资涉及潜在的盈利和亏损风险。用户应充分认识并承担自身投资决策的风险，平台不对用户的投资损失承担责任。</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2.2 平台提供的股票信息仅供参考和信息分享，不构成任何投资建议或买卖股票的邀请。用户应基于个人的判断和决策，自行承担投资风险。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3. 第三方信息和链接</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3.1 平台可能引用或链接到第三方提供的股票信息或其他相关信息。这些信息来源于可靠的渠道，但平台无法控制或保证其准确性、可靠性和合法性。</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3.2 用户在使用第三方提供的股票信息或访问第三方网站时，应自行判断其可靠性和适用性，并自行承担因使用该信息所产生的风险和责任。</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4. 平台功能和服务</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4.1 平台提供的股票信息可能包括但不限于股票价格、行情分析、公司公告、财务报表等。这些信息可能会因市场情况、数据来源或其他因素发生变化。</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4.2 平台力求提供稳定、可靠的功能和服务，但不保证其始终无错误、无中断或无延迟，也不保证其适用于所有用户的需求。</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5. 用户行为和责任</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5.1 用户在使用股票信息时，应遵</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守相关法律法规和平台的使用规定。</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5.2 用户不得将股票信息用于非法目的，不得进行欺诈、操纵市场、传播虚假信息或其他违法行为。</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5.3 用户应自行承担因违反本声明或相关法律法规而产生的责任和后果。</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6. 免责条款的适用范围</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6.1 本声明的免责条款适用于平台及其关联公司、合作伙伴和相关人员。</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6.2 免责声明不排除或限制平台可能根据适用法律提供的任何责任限制或排除。</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请在使用平台前仔细阅读并理解本免责声明。如有任何疑问，请与平台联系。</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