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1"/>
        </w:rPr>
        <w:t xml:space="preserve">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الترخيص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1"/>
        </w:rPr>
        <w:t xml:space="preserve">تنطبق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الاتفاقية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").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1"/>
        </w:rPr>
        <w:t xml:space="preserve">منح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الترخيص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منح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ترخيص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بصفتها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1"/>
        </w:rPr>
        <w:t xml:space="preserve">مسؤوليات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1"/>
        </w:rPr>
        <w:t xml:space="preserve">الملكية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الفكرية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1"/>
        </w:rPr>
        <w:t xml:space="preserve">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استغلال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1"/>
        </w:rPr>
        <w:t xml:space="preserve">إخلاء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المسؤولية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rtl w:val="1"/>
        </w:rPr>
        <w:t xml:space="preserve">تبذل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بشأنها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rtl w:val="1"/>
        </w:rPr>
        <w:t xml:space="preserve">يتحمل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1"/>
        </w:rPr>
        <w:t xml:space="preserve">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الترخيص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5.1 </w:t>
      </w:r>
      <w:r w:rsidDel="00000000" w:rsidR="00000000" w:rsidRPr="00000000">
        <w:rPr>
          <w:rtl w:val="1"/>
        </w:rPr>
        <w:t xml:space="preserve">تحتفظ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الترخيص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5.2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1"/>
        </w:rPr>
        <w:t xml:space="preserve">القانون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المنازعات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6.1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المنازعات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6.2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منازعة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يسعيا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الودية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المفاوضات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المنازعة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المحكمة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