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والأحكام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والحسابات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وتحديثها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بالمصلحة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زائفة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مضللة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تحذير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1"/>
        </w:rPr>
        <w:t xml:space="preserve">ينطوي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بمستشارين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محترفين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1"/>
        </w:rPr>
        <w:t xml:space="preserve">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بالكتاب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تعانيها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1"/>
        </w:rPr>
        <w:t xml:space="preserve">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1"/>
        </w:rPr>
        <w:t xml:space="preserve">القانون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والولاية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القضائية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8.1 </w:t>
      </w:r>
      <w:r w:rsidDel="00000000" w:rsidR="00000000" w:rsidRPr="00000000">
        <w:rPr>
          <w:rtl w:val="1"/>
        </w:rPr>
        <w:t xml:space="preserve">يخضع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8.2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النزاعات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خاضعة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9.1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9.2 </w:t>
      </w:r>
      <w:r w:rsidDel="00000000" w:rsidR="00000000" w:rsidRPr="00000000">
        <w:rPr>
          <w:rtl w:val="1"/>
        </w:rPr>
        <w:t xml:space="preserve">ستتخذ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الإعلامي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10.1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10.2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