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وشركتنا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بالأسهم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**1.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وتوصيات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التفصيلية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استثمارية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**2.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والحساب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وكاملة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ويتحملون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2.3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للاستخدام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2.4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ثغرات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إبلاغ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**3. </w:t>
      </w:r>
      <w:r w:rsidDel="00000000" w:rsidR="00000000" w:rsidRPr="00000000">
        <w:rPr>
          <w:rtl w:val="1"/>
        </w:rPr>
        <w:t xml:space="preserve">التداول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لتقديرهم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3.3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**4. </w:t>
      </w:r>
      <w:r w:rsidDel="00000000" w:rsidR="00000000" w:rsidRPr="00000000">
        <w:rPr>
          <w:rtl w:val="1"/>
        </w:rPr>
        <w:t xml:space="preserve">التكاليف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والدفعات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إبلاغ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**5. </w:t>
      </w:r>
      <w:r w:rsidDel="00000000" w:rsidR="00000000" w:rsidRPr="00000000">
        <w:rPr>
          <w:rtl w:val="1"/>
        </w:rPr>
        <w:t xml:space="preserve">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5.1 </w:t>
      </w:r>
      <w:r w:rsidDel="00000000" w:rsidR="00000000" w:rsidRPr="00000000">
        <w:rPr>
          <w:rtl w:val="1"/>
        </w:rPr>
        <w:t xml:space="preserve">يدرك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ويوافقون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وخسائر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5.2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والتوصيات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1"/>
        </w:rPr>
        <w:t xml:space="preserve">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5.3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بحذر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والاستعانة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بمستشاري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الشؤون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**6.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6.1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خدماتنا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واللوائح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وخدماتنا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كاذبة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التشهير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6.2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لديها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**7.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والخصوصية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7.1 </w:t>
      </w:r>
      <w:r w:rsidDel="00000000" w:rsidR="00000000" w:rsidRPr="00000000">
        <w:rPr>
          <w:rtl w:val="1"/>
        </w:rPr>
        <w:t xml:space="preserve">ستتخذ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والامتثال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بالخصوصية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7.2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ويوافقون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لتوفيرها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وتحسينها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7.3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**8. </w:t>
      </w:r>
      <w:r w:rsidDel="00000000" w:rsidR="00000000" w:rsidRPr="00000000">
        <w:rPr>
          <w:rtl w:val="1"/>
        </w:rPr>
        <w:t xml:space="preserve">إخلاء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المسؤولية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8.1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ويوافقون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تعطل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8.2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ينشأ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**9. </w:t>
      </w:r>
      <w:r w:rsidDel="00000000" w:rsidR="00000000" w:rsidRPr="00000000">
        <w:rPr>
          <w:rtl w:val="1"/>
        </w:rPr>
        <w:t xml:space="preserve">التعديلات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والإنهاء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9.1 </w:t>
      </w:r>
      <w:r w:rsidDel="00000000" w:rsidR="00000000" w:rsidRPr="00000000">
        <w:rPr>
          <w:rtl w:val="1"/>
        </w:rPr>
        <w:t xml:space="preserve">يحتفظ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9.2 </w:t>
      </w:r>
      <w:r w:rsidDel="00000000" w:rsidR="00000000" w:rsidRPr="00000000">
        <w:rPr>
          <w:rtl w:val="1"/>
        </w:rPr>
        <w:t xml:space="preserve">يحتفظ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التزامات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الإنهاء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**10. </w:t>
      </w:r>
      <w:r w:rsidDel="00000000" w:rsidR="00000000" w:rsidRPr="00000000">
        <w:rPr>
          <w:rtl w:val="1"/>
        </w:rPr>
        <w:t xml:space="preserve">القانون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والاختصاص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القضائي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10.1 </w:t>
      </w:r>
      <w:r w:rsidDel="00000000" w:rsidR="00000000" w:rsidRPr="00000000">
        <w:rPr>
          <w:rtl w:val="1"/>
        </w:rPr>
        <w:t xml:space="preserve">تخضع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10.2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النزاع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للمحاكم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