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FLAGSHIP — SOLAR-REFLECTIVE PAVEMENT COATING</w:t>
      </w:r>
    </w:p>
    <w:p>
      <w:pPr>
        <w:pStyle w:val="Heading1"/>
        <w:spacing w:after="200" w:before="80"/>
      </w:pPr>
      <w:r>
        <w:rPr>
          <w:b/>
          <w:bCs/>
          <w:color w:val="0A0A0A"/>
          <w:sz w:val="44"/>
          <w:szCs w:val="44"/>
        </w:rPr>
        <w:t xml:space="preserve">StreetBondSR</w:t>
      </w:r>
    </w:p>
    <w:p>
      <w:pPr>
        <w:spacing w:after="200" w:before="0"/>
      </w:pPr>
      <w:r>
        <w:rPr>
          <w:b/>
          <w:bCs/>
          <w:color w:val="374151"/>
          <w:sz w:val="22"/>
          <w:szCs w:val="22"/>
        </w:rPr>
        <w:t xml:space="preserve">Manufacturer: </w:t>
      </w:r>
      <w:r>
        <w:rPr>
          <w:color w:val="111827"/>
          <w:sz w:val="22"/>
          <w:szCs w:val="22"/>
        </w:rPr>
        <w:t xml:space="preserve">GAF / StreetBond (Parsippany NJ). Same parent product family as StreetBond. HUBSS is the Canadian distributor.</w:t>
      </w:r>
    </w:p>
    <w:p>
      <w:pPr>
        <w:pBdr>
          <w:bottom w:val="single" w:color="F97316" w:sz="12" w:space="1"/>
        </w:pBdr>
      </w:pP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PURPOSE OF THIS DOCUMENT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Source-of-truth reference for HUBSS website product copy. Replaces existing website descriptions that have been flagged as inaccurate or embellished. Doug Bain to review, correct, and sign off — every claim on the website must be supported by a fact listed in this document.</w:t>
      </w:r>
    </w:p>
    <w:p>
      <w:pPr>
        <w:spacing w:after="0" w:before="100"/>
      </w:pPr>
    </w:p>
    <w:p>
      <w:pPr>
        <w:pBdr>
          <w:bottom w:val="single" w:color="D1D5DB" w:sz="6" w:space="1"/>
        </w:pBdr>
      </w:pP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What it is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Solar-reflective version of StreetBond150 — the standard waterborne epoxy-modified acrylic coating is paired with high-SRI pigment colourants to reduce surface temperature and mitigate urban heat island effects.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Engineered specifically for projects targeting LEED v4 Sustainable Sites Credit 7.1 (Heat Island Effect — Non-Roof), climate action plan implementation, or municipal heat-mitigation programs.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Solar Reflectance Index (SRI) ≥ 29 qualifies for LEED credit — multiple StreetBondSR colours documented above this threshold.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'Invisible Shade' colourant technology pushes Solar Reflectance &gt; 0.334 — meeting LEED thresholds without restricting designs to white or light grey only.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Same flexible adhesion + slip-resistance characteristics as StreetBond150 — the SR effect is achieved through colourant chemistry, not by changing the base coating.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Documented compliance with LEED v4 SSc7.1 (Heat Island Effect) and Green Neighborhood Development GIB Credit 9.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Manufactured in ISO 9001 and ISO 14001 facilities.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Technical specifications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Base coating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StreetBond150 (waterborne epoxy-modified acrylic)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Volume solids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58.2% (ASTM D2697)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Weight solids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74.9% (ASTM D2369)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Density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13.8 lbs/gal (1.58 kg/L) per ASTM D1475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Shore hardness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38.3 (ASTM D2240)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VOC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Approx. 19 g/L measured (ASTM D3960-05) — well below SCAQMD Rule 1113 thresholds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Friction — wet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77 BPN (ASTM E303)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Friction — dry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81 BPN (ASTM E303)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Solar Reflectance Index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Limestone Grey SRI = 65; Slate SRI = 33; multiple other SR-qualifying colours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Solar Reflectance (SR, distinct from SRI)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≥ 0.334 with Invisible Shade colourants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LEED credit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SSc7.1 Heat Island Effect (Non-Roof) — 1 credit at SRI ≥ 29 on ≥ 50% of hardscape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Flexibility (mandrel bend)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Passes 6.35 mm @ 21°C; passes 101.6 mm @ -18°C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Drying — re-coat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35 min at 23°C, 37% RH (ASTM D5895)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Colours / palette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Same overall StreetBond palette (73+ colours), with SR-qualifying colours flagged in the StreetBondSR Colour Guide. Documented SR values include Marigold 0.35, Avocado 0.35, Pumpkin Spice 0.33, Chestnut Brown 0.34, Limestone Grey SRI 65, Slate SRI 33.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Applications &amp; ideal use-cases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Parking lots targeting LEED Heat Island Reduction credit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Civic plazas and pedestrian-priority areas in climate-action zones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School and campus hardscape (children's surface temperature exposure)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Urban parks and pathways in heat-vulnerable communities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Commercial sites with sustainability reporting requirements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Document library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Current document set for this product. Proposed clean titles below — fixes duplicate / generic naming on the current site.</w:t>
      </w:r>
    </w:p>
    <w:p>
      <w:pPr>
        <w:spacing w:after="0"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2000"/>
        <w:gridCol w:w="3280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StreetBondSR Brochure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Brochure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StreetBondSR-Brochure.pdf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Colour Guide — SR-qualifying tones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Colour Guide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Colour-Guide-1.pdf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Friction Certificate of Analysis (ASTM E303)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Certificate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StreetBond-SR-Certificate-of-Analysis-Friction.pdf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Flat Surface Product Specification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StreetBond-SR-Flat-Surface-Specification.pdf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Source notes &amp; [VERIFY] flags</w:t>
      </w: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SOURCES USED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StreetBondSR Brochure and Flat Surface Specification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StreetBondSR Friction Certificate of Analysis — GeoEngineers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StreetBondSR Colour Guide (.pdf)</w:t>
      </w: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ITEMS REQUIRING DOUG'S CONFIRMATION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site spec reads "Initial Solar Reflectance ≥ 0.33" — defensible, but the technical foundation is actually SRI ≥ 29 (the LEED-credit metric). SR and SRI are related but different scales. Recommend stating BOTH: "SRI ≥ 29 (LEED qualifying) / Solar Reflectance &gt; 0.334 with Invisible Shade colourants."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LEED credit name — "SS Credit: Heat Island Reduction" is current LEED v4 language; LEED v4.1 may use updated nomenclature. Confirm the current credit label HUBSS wants on the site.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Coverage / dry time / cure are inherited from StreetBond150 — confirm they should be listed on the SR page directly or referenced back to the StreetBond page.</w:t>
            </w:r>
          </w:p>
        </w:tc>
      </w:tr>
    </w:tbl>
    <w:p>
      <w:pPr>
        <w:spacing w:after="0" w:before="60"/>
      </w:pP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CURRENT SITE COPY FLAGGED AS INACCURATE / EMBELLISHED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site lists Solar Reflectance ≥ 0.33 as a flat number. The SR test value documented in the materials is ≥ 0.334. More importantly, the LEED requirement is SRI ≥ 29 (a different, more rigorous metric). The site should reflect the LEED metric directly.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Document library on the current site does not show the Friction Certificate of Analysis prominently — for LEED submissions and municipal procurement, this is one of the most useful documents to feature, since it documents both slip resistance AND VOC compliance in one place.</w:t>
            </w:r>
          </w:p>
        </w:tc>
      </w:tr>
    </w:tbl>
    <w:p>
      <w:pPr>
        <w:spacing w:after="0" w:before="60"/>
      </w:pPr>
    </w:p>
    <w:p>
      <w:pPr>
        <w:spacing w:after="80" w:before="320"/>
      </w:pPr>
    </w:p>
    <w:p>
      <w:pPr>
        <w:pBdr>
          <w:bottom w:val="single" w:color="D1D5DB" w:sz="6" w:space="1"/>
        </w:pBdr>
      </w:pPr>
    </w:p>
    <w:p>
      <w:pPr>
        <w:spacing w:after="0" w:before="200"/>
      </w:pPr>
      <w:r>
        <w:rPr>
          <w:b/>
          <w:bCs/>
          <w:color w:val="374151"/>
          <w:sz w:val="20"/>
          <w:szCs w:val="20"/>
        </w:rPr>
        <w:t xml:space="preserve">Approved for website use by: </w:t>
      </w:r>
      <w:r>
        <w:rPr>
          <w:color w:val="374151"/>
          <w:sz w:val="20"/>
          <w:szCs w:val="20"/>
        </w:rPr>
        <w:t xml:space="preserve">______________________________   Date: 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HUBSS — Product Source of Truth (DRAFT) ·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Calibri" w:cs="Calibri" w:eastAsia="Calibri" w:hAnsi="Calibri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HUBSS Product Source of Truth</dc:title>
  <dc:creator>Based Agency for HUB Surface Systems</dc:creator>
  <dc:description>Draft source-of-truth product reference for client sign-off.</dc:description>
  <cp:lastModifiedBy>Un-named</cp:lastModifiedBy>
  <cp:revision>1</cp:revision>
  <dcterms:created xsi:type="dcterms:W3CDTF">2026-05-22T00:05:06.133Z</dcterms:created>
  <dcterms:modified xsi:type="dcterms:W3CDTF">2026-05-22T00:05:06.133Z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