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F97316"/>
          <w:spacing w:val="24"/>
          <w:sz w:val="16"/>
          <w:szCs w:val="16"/>
        </w:rPr>
        <w:t xml:space="preserve">SPECIALTY — CUSTOM SURFACE SIGNAGE &amp; BRANDING</w:t>
      </w:r>
    </w:p>
    <w:p>
      <w:pPr>
        <w:pStyle w:val="Heading1"/>
        <w:spacing w:after="200" w:before="80"/>
      </w:pPr>
      <w:r>
        <w:rPr>
          <w:b/>
          <w:bCs/>
          <w:color w:val="0A0A0A"/>
          <w:sz w:val="44"/>
          <w:szCs w:val="44"/>
        </w:rPr>
        <w:t xml:space="preserve">DecoMark</w:t>
      </w:r>
    </w:p>
    <w:p>
      <w:pPr>
        <w:spacing w:after="200" w:before="0"/>
      </w:pPr>
      <w:r>
        <w:rPr>
          <w:b/>
          <w:bCs/>
          <w:color w:val="374151"/>
          <w:sz w:val="22"/>
          <w:szCs w:val="22"/>
        </w:rPr>
        <w:t xml:space="preserve">Manufacturer: </w:t>
      </w:r>
      <w:r>
        <w:rPr>
          <w:color w:val="111827"/>
          <w:sz w:val="22"/>
          <w:szCs w:val="22"/>
        </w:rPr>
        <w:t xml:space="preserve">Ennis-Flint® by PPG (PPG Traffic Solutions, Greensboro NC). Distributed by Flint Trading, Inc. HUBSS is the Canadian sales/support distributor.</w:t>
      </w:r>
    </w:p>
    <w:p>
      <w:pPr>
        <w:pBdr>
          <w:bottom w:val="single" w:color="F97316" w:sz="12" w:space="1"/>
        </w:pBdr>
      </w:pPr>
    </w:p>
    <w:p>
      <w:pPr>
        <w:spacing w:after="0" w:before="80"/>
      </w:pPr>
    </w:p>
    <w:p>
      <w:pPr>
        <w:spacing w:after="60" w:before="0"/>
      </w:pPr>
      <w:r>
        <w:rPr>
          <w:b/>
          <w:bCs/>
          <w:color w:val="F97316"/>
          <w:spacing w:val="24"/>
          <w:sz w:val="16"/>
          <w:szCs w:val="16"/>
        </w:rPr>
        <w:t xml:space="preserve">PURPOSE OF THIS DOCUMENT</w:t>
      </w:r>
    </w:p>
    <w:p>
      <w:pPr>
        <w:spacing w:after="120" w:before="0" w:line="300"/>
      </w:pPr>
      <w:r>
        <w:rPr>
          <w:color w:val="111827"/>
          <w:sz w:val="22"/>
          <w:szCs w:val="22"/>
        </w:rPr>
        <w:t xml:space="preserve">Source-of-truth reference for HUBSS website product copy. Replaces existing website descriptions that have been flagged as inaccurate or embellished. Doug Bain to review, correct, and sign off — every claim on the website must be supported by a fact listed in this document.</w:t>
      </w:r>
    </w:p>
    <w:p>
      <w:pPr>
        <w:spacing w:after="0" w:before="100"/>
      </w:pPr>
    </w:p>
    <w:p>
      <w:pPr>
        <w:pBdr>
          <w:bottom w:val="single" w:color="D1D5DB" w:sz="6" w:space="1"/>
        </w:pBdr>
      </w:pPr>
    </w:p>
    <w:p>
      <w:pPr>
        <w:pStyle w:val="Heading2"/>
        <w:spacing w:after="120" w:before="320"/>
      </w:pPr>
      <w:r>
        <w:rPr>
          <w:b/>
          <w:bCs/>
          <w:color w:val="0A0A0A"/>
          <w:sz w:val="26"/>
          <w:szCs w:val="26"/>
        </w:rPr>
        <w:t xml:space="preserve">What it is</w:t>
      </w:r>
    </w:p>
    <w:p>
      <w:pPr>
        <w:spacing w:after="120" w:before="0" w:line="300"/>
      </w:pPr>
      <w:r>
        <w:rPr>
          <w:color w:val="111827"/>
          <w:sz w:val="22"/>
          <w:szCs w:val="22"/>
        </w:rPr>
        <w:t xml:space="preserve">A custom preformed thermoplastic system for horizontal surface graphics — logos, wayfinding, civic art, school spirit markings, brand identification, community-pride installations. Factory-fabricated to artwork specifications, then heat-fused to asphalt or concrete.</w:t>
      </w:r>
    </w:p>
    <w:p>
      <w:pPr>
        <w:spacing w:after="120" w:before="0" w:line="300"/>
      </w:pPr>
      <w:r>
        <w:rPr>
          <w:color w:val="111827"/>
          <w:sz w:val="22"/>
          <w:szCs w:val="22"/>
        </w:rPr>
        <w:t xml:space="preserve">DecoMark is non-reflective and is positioned by the manufacturer as branding/identification + directional surface signage — distinct from the regulatory pavement-marking line. The category eyebrow should reflect this (currently "Specialty &amp; Regulatory" — proposed: "Specialty / Branding &amp; Surface Signage").</w:t>
      </w:r>
    </w:p>
    <w:p>
      <w:pPr>
        <w:pStyle w:val="Heading2"/>
        <w:spacing w:after="120" w:before="320"/>
      </w:pPr>
      <w:r>
        <w:rPr>
          <w:b/>
          <w:bCs/>
          <w:color w:val="0A0A0A"/>
          <w:sz w:val="26"/>
          <w:szCs w:val="26"/>
        </w:rPr>
        <w:t xml:space="preserve">Key features</w:t>
      </w:r>
    </w:p>
    <w:p>
      <w:pPr>
        <w:pStyle w:val="ListParagraph"/>
        <w:numPr>
          <w:ilvl w:val="0"/>
          <w:numId w:val="2"/>
        </w:numPr>
        <w:spacing w:after="80" w:before="0" w:line="280"/>
      </w:pPr>
      <w:r>
        <w:rPr>
          <w:color w:val="111827"/>
          <w:sz w:val="22"/>
          <w:szCs w:val="22"/>
        </w:rPr>
        <w:t xml:space="preserve">Made-to-order from vector artwork (CAD or vector files accepted).</w:t>
      </w:r>
    </w:p>
    <w:p>
      <w:pPr>
        <w:pStyle w:val="ListParagraph"/>
        <w:numPr>
          <w:ilvl w:val="0"/>
          <w:numId w:val="2"/>
        </w:numPr>
        <w:spacing w:after="80" w:before="0" w:line="280"/>
      </w:pPr>
      <w:r>
        <w:rPr>
          <w:color w:val="111827"/>
          <w:sz w:val="22"/>
          <w:szCs w:val="22"/>
        </w:rPr>
        <w:t xml:space="preserve">Factory-fabricated multi-colour segments — 24 in × 36 in, factory-assembled.</w:t>
      </w:r>
    </w:p>
    <w:p>
      <w:pPr>
        <w:pStyle w:val="ListParagraph"/>
        <w:numPr>
          <w:ilvl w:val="0"/>
          <w:numId w:val="2"/>
        </w:numPr>
        <w:spacing w:after="80" w:before="0" w:line="280"/>
      </w:pPr>
      <w:r>
        <w:rPr>
          <w:color w:val="111827"/>
          <w:sz w:val="22"/>
          <w:szCs w:val="22"/>
        </w:rPr>
        <w:t xml:space="preserve">Heat-fused to asphalt and concrete (including green concrete that has set but not appreciably hardened).</w:t>
      </w:r>
    </w:p>
    <w:p>
      <w:pPr>
        <w:pStyle w:val="ListParagraph"/>
        <w:numPr>
          <w:ilvl w:val="0"/>
          <w:numId w:val="2"/>
        </w:numPr>
        <w:spacing w:after="80" w:before="0" w:line="280"/>
      </w:pPr>
      <w:r>
        <w:rPr>
          <w:color w:val="111827"/>
          <w:sz w:val="22"/>
          <w:szCs w:val="22"/>
        </w:rPr>
        <w:t xml:space="preserve">Surface signage that lasts 6 to 8 times longer than painted alternatives (longer in pedestrian-only areas).</w:t>
      </w:r>
    </w:p>
    <w:p>
      <w:pPr>
        <w:pStyle w:val="ListParagraph"/>
        <w:numPr>
          <w:ilvl w:val="0"/>
          <w:numId w:val="2"/>
        </w:numPr>
        <w:spacing w:after="80" w:before="0" w:line="280"/>
      </w:pPr>
      <w:r>
        <w:rPr>
          <w:color w:val="111827"/>
          <w:sz w:val="22"/>
          <w:szCs w:val="22"/>
        </w:rPr>
        <w:t xml:space="preserve">ADA-compliant pedestrian and wheelchair-friendly surface.</w:t>
      </w:r>
    </w:p>
    <w:p>
      <w:pPr>
        <w:pStyle w:val="ListParagraph"/>
        <w:numPr>
          <w:ilvl w:val="0"/>
          <w:numId w:val="2"/>
        </w:numPr>
        <w:spacing w:after="80" w:before="0" w:line="280"/>
      </w:pPr>
      <w:r>
        <w:rPr>
          <w:color w:val="111827"/>
          <w:sz w:val="22"/>
          <w:szCs w:val="22"/>
        </w:rPr>
        <w:t xml:space="preserve">Manufactured in an ISO 9001:2015 certified facility.</w:t>
      </w:r>
    </w:p>
    <w:p>
      <w:pPr>
        <w:pStyle w:val="Heading2"/>
        <w:spacing w:after="120" w:before="320"/>
      </w:pPr>
      <w:r>
        <w:rPr>
          <w:b/>
          <w:bCs/>
          <w:color w:val="0A0A0A"/>
          <w:sz w:val="26"/>
          <w:szCs w:val="26"/>
        </w:rPr>
        <w:t xml:space="preserve">Technical specifications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Material</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Preformed thermoplastic — ester-modified rosin, aggregates, pigments, binders, anti-skid elements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thickness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125 mil (3.18 mm)</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Standard sheet size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24 in × 36 in (0.6 m × 0.91 m), factory-assembled multi-colour segments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Anti-skid (intermixed)</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30% intermix; minimum 9 Mohs hardness (highest in the line)</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Skid resistance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60 BPN per ASTM E303</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Static friction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0.6 (wet &amp; dry) per ASTM C1028 / ASTM D2047</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install temperature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45°F (7°C) ambient and road — no pavement preheating required</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Substrate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Asphalt and Portland cement concrete (including green concrete)</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Installation tools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Propane torch, infrared heater, or blue-flame radiant heater — no compactor required</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Sealer</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Two-component sealer required prior to application (supplied in 300/600 mL cartridges)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Storage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12 months indoors at 35°F–90°F</w:t>
            </w:r>
          </w:p>
        </w:tc>
      </w:tr>
      <w:tr>
        <w:tc>
          <w:tcPr>
            <w:tcW w:type="dxa" w:w="3200"/>
            <w:tcBorders>
              <w:top w:val="none" w:color="FFFFFF" w:sz="0"/>
              <w:left w:val="none" w:color="FFFFFF" w:sz="0"/>
              <w:bottom w:val="none" w:color="FFFFFF" w:sz="0"/>
              <w:right w:val="none" w:color="FFFFFF" w:sz="0"/>
            </w:tcBorders>
            <w:tcMar>
              <w:top w:type="dxa" w:w="120"/>
              <w:left w:type="dxa" w:w="0"/>
              <w:bottom w:type="dxa" w:w="120"/>
              <w:right w:type="dxa" w:w="120"/>
            </w:tcMar>
          </w:tcPr>
          <w:p>
            <w:r>
              <w:rPr>
                <w:b/>
                <w:bCs/>
                <w:color w:val="374151"/>
                <w:sz w:val="20"/>
                <w:szCs w:val="20"/>
              </w:rPr>
              <w:t xml:space="preserve">Carton</w:t>
            </w:r>
          </w:p>
        </w:tc>
        <w:tc>
          <w:tcPr>
            <w:tcW w:type="dxa" w:w="6880"/>
            <w:tcBorders>
              <w:top w:val="none" w:color="FFFFFF" w:sz="0"/>
              <w:left w:val="none" w:color="FFFFFF" w:sz="0"/>
              <w:bottom w:val="none" w:color="FFFFFF" w:sz="0"/>
              <w:right w:val="none" w:color="FFFFFF" w:sz="0"/>
            </w:tcBorders>
            <w:tcMar>
              <w:top w:type="dxa" w:w="120"/>
              <w:left w:type="dxa" w:w="120"/>
              <w:bottom w:type="dxa" w:w="120"/>
              <w:right w:type="dxa" w:w="0"/>
            </w:tcMar>
          </w:tcPr>
          <w:p>
            <w:r>
              <w:rPr>
                <w:color w:val="111827"/>
                <w:sz w:val="22"/>
                <w:szCs w:val="22"/>
              </w:rPr>
              <w:t xml:space="preserve">Max 40 in × 25 in; max 70 lb (32 kg)</w:t>
            </w:r>
          </w:p>
        </w:tc>
      </w:tr>
    </w:tbl>
    <w:p>
      <w:pPr>
        <w:pStyle w:val="Heading2"/>
        <w:spacing w:after="120" w:before="320"/>
      </w:pPr>
      <w:r>
        <w:rPr>
          <w:b/>
          <w:bCs/>
          <w:color w:val="0A0A0A"/>
          <w:sz w:val="26"/>
          <w:szCs w:val="26"/>
        </w:rPr>
        <w:t xml:space="preserve">Colours / palette</w:t>
      </w:r>
    </w:p>
    <w:p>
      <w:pPr>
        <w:spacing w:after="120" w:before="0" w:line="300"/>
      </w:pPr>
      <w:r>
        <w:rPr>
          <w:color w:val="111827"/>
          <w:sz w:val="22"/>
          <w:szCs w:val="22"/>
        </w:rPr>
        <w:t xml:space="preserve">35+ standard colours: Black, Grey, Light Grey, Khaki, Sand, Tan, Cinnamon, Salmon, Pink, Santa Fe Clay, Heritage Red, Terracotta, Sienna, Brick Red, Dark Brick Red, Cocoa, Colonial Brick, Red, Sonoma Sand, Chestnut, Orange, Burnt Orange, Yellow, Lemon Yellow, SYG, Olive Green, Field Gray, Lilac, Purple, Blue, Light Blue, Sky Blue, Teal, Green, Light Green, Kelly Green, White. Custom colour-matching available within manufacturing limits.</w:t>
      </w:r>
    </w:p>
    <w:p>
      <w:pPr>
        <w:pStyle w:val="Heading2"/>
        <w:spacing w:after="120" w:before="320"/>
      </w:pPr>
      <w:r>
        <w:rPr>
          <w:b/>
          <w:bCs/>
          <w:color w:val="0A0A0A"/>
          <w:sz w:val="26"/>
          <w:szCs w:val="26"/>
        </w:rPr>
        <w:t xml:space="preserve">Applications &amp; ideal use-cases</w:t>
      </w:r>
    </w:p>
    <w:p>
      <w:pPr>
        <w:pStyle w:val="ListParagraph"/>
        <w:numPr>
          <w:ilvl w:val="0"/>
          <w:numId w:val="2"/>
        </w:numPr>
        <w:spacing w:after="80" w:before="0" w:line="280"/>
      </w:pPr>
      <w:r>
        <w:rPr>
          <w:color w:val="111827"/>
          <w:sz w:val="22"/>
          <w:szCs w:val="22"/>
        </w:rPr>
        <w:t xml:space="preserve">Custom logos and brand identification (civic, school, corporate)</w:t>
      </w:r>
    </w:p>
    <w:p>
      <w:pPr>
        <w:pStyle w:val="ListParagraph"/>
        <w:numPr>
          <w:ilvl w:val="0"/>
          <w:numId w:val="2"/>
        </w:numPr>
        <w:spacing w:after="80" w:before="0" w:line="280"/>
      </w:pPr>
      <w:r>
        <w:rPr>
          <w:color w:val="111827"/>
          <w:sz w:val="22"/>
          <w:szCs w:val="22"/>
        </w:rPr>
        <w:t xml:space="preserve">Wayfinding and directional surface signage</w:t>
      </w:r>
    </w:p>
    <w:p>
      <w:pPr>
        <w:pStyle w:val="ListParagraph"/>
        <w:numPr>
          <w:ilvl w:val="0"/>
          <w:numId w:val="2"/>
        </w:numPr>
        <w:spacing w:after="80" w:before="0" w:line="280"/>
      </w:pPr>
      <w:r>
        <w:rPr>
          <w:color w:val="111827"/>
          <w:sz w:val="22"/>
          <w:szCs w:val="22"/>
        </w:rPr>
        <w:t xml:space="preserve">School spirit and community pride markings</w:t>
      </w:r>
    </w:p>
    <w:p>
      <w:pPr>
        <w:pStyle w:val="ListParagraph"/>
        <w:numPr>
          <w:ilvl w:val="0"/>
          <w:numId w:val="2"/>
        </w:numPr>
        <w:spacing w:after="80" w:before="0" w:line="280"/>
      </w:pPr>
      <w:r>
        <w:rPr>
          <w:color w:val="111827"/>
          <w:sz w:val="22"/>
          <w:szCs w:val="22"/>
        </w:rPr>
        <w:t xml:space="preserve">Indigenous public art partnerships and civic mural installations</w:t>
      </w:r>
    </w:p>
    <w:p>
      <w:pPr>
        <w:pStyle w:val="ListParagraph"/>
        <w:numPr>
          <w:ilvl w:val="0"/>
          <w:numId w:val="2"/>
        </w:numPr>
        <w:spacing w:after="80" w:before="0" w:line="280"/>
      </w:pPr>
      <w:r>
        <w:rPr>
          <w:color w:val="111827"/>
          <w:sz w:val="22"/>
          <w:szCs w:val="22"/>
        </w:rPr>
        <w:t xml:space="preserve">Neighbourhood placemaking</w:t>
      </w:r>
    </w:p>
    <w:p>
      <w:pPr>
        <w:pStyle w:val="ListParagraph"/>
        <w:numPr>
          <w:ilvl w:val="0"/>
          <w:numId w:val="2"/>
        </w:numPr>
        <w:spacing w:after="80" w:before="0" w:line="280"/>
      </w:pPr>
      <w:r>
        <w:rPr>
          <w:color w:val="111827"/>
          <w:sz w:val="22"/>
          <w:szCs w:val="22"/>
        </w:rPr>
        <w:t xml:space="preserve">Shopping mall and commercial property branding</w:t>
      </w:r>
    </w:p>
    <w:p>
      <w:pPr>
        <w:pStyle w:val="ListParagraph"/>
        <w:numPr>
          <w:ilvl w:val="0"/>
          <w:numId w:val="2"/>
        </w:numPr>
        <w:spacing w:after="80" w:before="0" w:line="280"/>
      </w:pPr>
      <w:r>
        <w:rPr>
          <w:color w:val="111827"/>
          <w:sz w:val="22"/>
          <w:szCs w:val="22"/>
        </w:rPr>
        <w:t xml:space="preserve">Parks, trails, and trailhead identification</w:t>
      </w:r>
    </w:p>
    <w:p>
      <w:pPr>
        <w:pStyle w:val="ListParagraph"/>
        <w:numPr>
          <w:ilvl w:val="0"/>
          <w:numId w:val="2"/>
        </w:numPr>
        <w:spacing w:after="80" w:before="0" w:line="280"/>
      </w:pPr>
      <w:r>
        <w:rPr>
          <w:color w:val="111827"/>
          <w:sz w:val="22"/>
          <w:szCs w:val="22"/>
        </w:rPr>
        <w:t xml:space="preserve">Accessibility wayfinding (combined with appropriate regulatory markings)</w:t>
      </w:r>
    </w:p>
    <w:p>
      <w:pPr>
        <w:pStyle w:val="Heading2"/>
        <w:spacing w:after="120" w:before="320"/>
      </w:pPr>
      <w:r>
        <w:rPr>
          <w:b/>
          <w:bCs/>
          <w:color w:val="0A0A0A"/>
          <w:sz w:val="26"/>
          <w:szCs w:val="26"/>
        </w:rPr>
        <w:t xml:space="preserve">Document library</w:t>
      </w:r>
    </w:p>
    <w:p>
      <w:pPr>
        <w:spacing w:after="120" w:before="0" w:line="300"/>
      </w:pPr>
      <w:r>
        <w:rPr>
          <w:color w:val="111827"/>
          <w:sz w:val="22"/>
          <w:szCs w:val="22"/>
        </w:rPr>
        <w:t xml:space="preserve">Current document set for this product. Proposed clean titles below — fixes duplicate / generic naming on the current site.</w:t>
      </w:r>
    </w:p>
    <w:p>
      <w:pPr>
        <w:spacing w:after="0" w:before="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00"/>
        <w:gridCol w:w="2000"/>
        <w:gridCol w:w="3280"/>
      </w:tblGrid>
      <w:tr>
        <w:trPr>
          <w:tblHeader/>
        </w:trPr>
        <w:tc>
          <w:tcPr>
            <w:tcW w:type="dxa" w:w="48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Document title</w:t>
            </w:r>
          </w:p>
        </w:tc>
        <w:tc>
          <w:tcPr>
            <w:tcW w:type="dxa" w:w="20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Type</w:t>
            </w:r>
          </w:p>
        </w:tc>
        <w:tc>
          <w:tcPr>
            <w:tcW w:type="dxa" w:w="328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File</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Product Specification</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DecoMark-Specification.pdf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Application Instructions</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Application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DecoMark-Application-Instructions.pdf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Custom Design Guidelines</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Design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DecoMark-Custom-Design-Guidelines.pdf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Colour Guide</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Colour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DecoMark-Colour-Guide.pdf</w:t>
            </w:r>
          </w:p>
        </w:tc>
      </w:tr>
      <w:tr>
        <w:tc>
          <w:tcPr>
            <w:tcW w:type="dxa" w:w="48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111827"/>
                <w:sz w:val="21"/>
                <w:szCs w:val="21"/>
              </w:rPr>
              <w:t xml:space="preserve">Technical Data Sheet (TS004)</w:t>
            </w:r>
          </w:p>
        </w:tc>
        <w:tc>
          <w:tcPr>
            <w:tcW w:type="dxa" w:w="20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none" w:color="FFFFFF" w:sz="0"/>
              <w:left w:val="none" w:color="FFFFFF" w:sz="0"/>
              <w:bottom w:val="none" w:color="FFFFFF" w:sz="0"/>
              <w:right w:val="none" w:color="FFFFFF" w:sz="0"/>
            </w:tcBorders>
            <w:tcMar>
              <w:top w:type="dxa" w:w="100"/>
              <w:left w:type="dxa" w:w="0"/>
              <w:bottom w:type="dxa" w:w="100"/>
              <w:right w:type="dxa" w:w="0"/>
            </w:tcMar>
          </w:tcPr>
          <w:p>
            <w:r>
              <w:rPr>
                <w:i/>
                <w:iCs/>
                <w:color w:val="6B7280"/>
                <w:sz w:val="16"/>
                <w:szCs w:val="16"/>
              </w:rPr>
              <w:t xml:space="preserve">TS004_DecoMark_220204.pdf</w:t>
            </w:r>
          </w:p>
        </w:tc>
      </w:tr>
    </w:tbl>
    <w:p>
      <w:pPr>
        <w:pStyle w:val="Heading2"/>
        <w:spacing w:after="120" w:before="320"/>
      </w:pPr>
      <w:r>
        <w:rPr>
          <w:b/>
          <w:bCs/>
          <w:color w:val="0A0A0A"/>
          <w:sz w:val="26"/>
          <w:szCs w:val="26"/>
        </w:rPr>
        <w:t xml:space="preserve">Source notes &amp; [VERIFY] flags</w:t>
      </w:r>
    </w:p>
    <w:p>
      <w:pPr>
        <w:spacing w:after="60" w:before="0"/>
      </w:pPr>
      <w:r>
        <w:rPr>
          <w:b/>
          <w:bCs/>
          <w:color w:val="F97316"/>
          <w:spacing w:val="24"/>
          <w:sz w:val="16"/>
          <w:szCs w:val="16"/>
        </w:rPr>
        <w:t xml:space="preserve">SOURCES USED</w:t>
      </w:r>
    </w:p>
    <w:p>
      <w:pPr>
        <w:pStyle w:val="ListParagraph"/>
        <w:numPr>
          <w:ilvl w:val="0"/>
          <w:numId w:val="2"/>
        </w:numPr>
        <w:spacing w:after="80" w:before="0" w:line="280"/>
      </w:pPr>
      <w:r>
        <w:rPr>
          <w:color w:val="111827"/>
          <w:sz w:val="22"/>
          <w:szCs w:val="22"/>
        </w:rPr>
        <w:t xml:space="preserve">DecoMark Specification, Application Instructions, TS004 TDS, Colour Guide (.pdf)</w:t>
      </w:r>
    </w:p>
    <w:p>
      <w:pPr>
        <w:pStyle w:val="ListParagraph"/>
        <w:numPr>
          <w:ilvl w:val="0"/>
          <w:numId w:val="2"/>
        </w:numPr>
        <w:spacing w:after="80" w:before="0" w:line="280"/>
      </w:pPr>
      <w:r>
        <w:rPr>
          <w:color w:val="111827"/>
          <w:sz w:val="22"/>
          <w:szCs w:val="22"/>
        </w:rPr>
        <w:t xml:space="preserve">Ennis-Flint by PPG product literature</w:t>
      </w:r>
    </w:p>
    <w:p>
      <w:pPr>
        <w:spacing w:after="0" w:before="120"/>
      </w:pPr>
    </w:p>
    <w:p>
      <w:pPr>
        <w:spacing w:after="60" w:before="0"/>
      </w:pPr>
      <w:r>
        <w:rPr>
          <w:b/>
          <w:bCs/>
          <w:color w:val="F97316"/>
          <w:spacing w:val="24"/>
          <w:sz w:val="16"/>
          <w:szCs w:val="16"/>
        </w:rPr>
        <w:t xml:space="preserve">ITEMS REQUIRING DOUG'S CONFIRMATION</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eyebrow is "Specialty &amp; Regulatory." DecoMark is positioned by the manufacturer as a branding / identification / surface-signage product — not specifically regulatory. Recommend revised eyebrow: "Specialty / Custom Surface Signage" or "Specialty / Branding &amp; Wayfinding."</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"Print-grade colour accuracy" — defensible language, but the technical limit is the 35+ standard palette plus custom-match capability. Confirm that HUBSS does not promise digital-print fidelity (which is a different thermoplastic technology entirely).</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Minimum order: site says "project-based." Confirm with HUBSS whether there is a minimum dollar value, minimum sq ft, or no minimum at all.</w:t>
            </w:r>
          </w:p>
        </w:tc>
      </w:tr>
    </w:tbl>
    <w:p>
      <w:pPr>
        <w:spacing w:after="0" w:before="60"/>
      </w:pPr>
    </w:p>
    <w:p>
      <w:pPr>
        <w:spacing w:after="0" w:before="120"/>
      </w:pPr>
    </w:p>
    <w:p>
      <w:pPr>
        <w:spacing w:after="60" w:before="0"/>
      </w:pPr>
      <w:r>
        <w:rPr>
          <w:b/>
          <w:bCs/>
          <w:color w:val="F97316"/>
          <w:spacing w:val="24"/>
          <w:sz w:val="16"/>
          <w:szCs w:val="16"/>
        </w:rPr>
        <w:t xml:space="preserve">CURRENT SITE COPY FLAGGED AS INACCURATE / EMBELLISHED</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Category eyebrow "Specialty &amp; Regulatory" misrepresents the product. DecoMark is decorative + branding; regulatory pavement markings are PreMark territory.</w:t>
            </w:r>
          </w:p>
        </w:tc>
      </w:tr>
    </w:tbl>
    <w:p>
      <w:pPr>
        <w:spacing w:after="0" w:before="60"/>
      </w:pPr>
    </w:p>
    <w:p>
      <w:pPr>
        <w:spacing w:after="80" w:before="320"/>
      </w:pPr>
    </w:p>
    <w:p>
      <w:pPr>
        <w:pBdr>
          <w:bottom w:val="single" w:color="D1D5DB" w:sz="6" w:space="1"/>
        </w:pBdr>
      </w:pPr>
    </w:p>
    <w:p>
      <w:pPr>
        <w:spacing w:after="0" w:before="200"/>
      </w:pPr>
      <w:r>
        <w:rPr>
          <w:b/>
          <w:bCs/>
          <w:color w:val="374151"/>
          <w:sz w:val="20"/>
          <w:szCs w:val="20"/>
        </w:rPr>
        <w:t xml:space="preserve">Approved for website use by: </w:t>
      </w:r>
      <w:r>
        <w:rPr>
          <w:color w:val="374151"/>
          <w:sz w:val="20"/>
          <w:szCs w:val="20"/>
        </w:rPr>
        <w:t xml:space="preserve">______________________________   Date: 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HUBSS — Product Source of Truth (DRAFT)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HUBSS Product Source of Truth</dc:title>
  <dc:creator>Based Agency for HUB Surface Systems</dc:creator>
  <dc:description>Draft source-of-truth product reference for client sign-off.</dc:description>
  <cp:lastModifiedBy>Un-named</cp:lastModifiedBy>
  <cp:revision>1</cp:revision>
  <dcterms:created xsi:type="dcterms:W3CDTF">2026-05-22T00:05:06.193Z</dcterms:created>
  <dcterms:modified xsi:type="dcterms:W3CDTF">2026-05-22T00:05:06.193Z</dcterms:modified>
</cp:coreProperties>
</file>

<file path=docProps/custom.xml><?xml version="1.0" encoding="utf-8"?>
<Properties xmlns="http://schemas.openxmlformats.org/officeDocument/2006/custom-properties" xmlns:vt="http://schemas.openxmlformats.org/officeDocument/2006/docPropsVTypes"/>
</file>