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F97316"/>
          <w:spacing w:val="24"/>
          <w:sz w:val="16"/>
          <w:szCs w:val="16"/>
        </w:rPr>
        <w:t xml:space="preserve">SPECIALTY — MMA RESIN COLOURED LANE TREATMENT</w:t>
      </w:r>
    </w:p>
    <w:p>
      <w:pPr>
        <w:pStyle w:val="Heading1"/>
        <w:spacing w:after="200" w:before="80"/>
      </w:pPr>
      <w:r>
        <w:rPr>
          <w:b/>
          <w:bCs/>
          <w:color w:val="0A0A0A"/>
          <w:sz w:val="44"/>
          <w:szCs w:val="44"/>
        </w:rPr>
        <w:t xml:space="preserve">MMAX</w:t>
      </w:r>
    </w:p>
    <w:p>
      <w:pPr>
        <w:spacing w:after="200" w:before="0"/>
      </w:pPr>
      <w:r>
        <w:rPr>
          <w:b/>
          <w:bCs/>
          <w:color w:val="374151"/>
          <w:sz w:val="22"/>
          <w:szCs w:val="22"/>
        </w:rPr>
        <w:t xml:space="preserve">Manufacturer: </w:t>
      </w:r>
      <w:r>
        <w:rPr>
          <w:color w:val="111827"/>
          <w:sz w:val="22"/>
          <w:szCs w:val="22"/>
        </w:rPr>
        <w:t xml:space="preserve">Ennis-Flint® by PPG (PPG Traffic Solutions). HUBSS is the Canadian distributor. Older APAC documentation refers to Ennis Traffic Safety Solutions Pty Ltd, Australia — same parent.</w:t>
      </w:r>
    </w:p>
    <w:p>
      <w:pPr>
        <w:pBdr>
          <w:bottom w:val="single" w:color="F97316" w:sz="12" w:space="1"/>
        </w:pBdr>
      </w:pPr>
    </w:p>
    <w:p>
      <w:pPr>
        <w:spacing w:after="0" w:before="80"/>
      </w:pPr>
    </w:p>
    <w:p>
      <w:pPr>
        <w:spacing w:after="60" w:before="0"/>
      </w:pPr>
      <w:r>
        <w:rPr>
          <w:b/>
          <w:bCs/>
          <w:color w:val="F97316"/>
          <w:spacing w:val="24"/>
          <w:sz w:val="16"/>
          <w:szCs w:val="16"/>
        </w:rPr>
        <w:t xml:space="preserve">PURPOSE OF THIS DOCUMENT</w:t>
      </w:r>
    </w:p>
    <w:p>
      <w:pPr>
        <w:spacing w:after="120" w:before="0" w:line="300"/>
      </w:pPr>
      <w:r>
        <w:rPr>
          <w:color w:val="111827"/>
          <w:sz w:val="22"/>
          <w:szCs w:val="22"/>
        </w:rPr>
        <w:t xml:space="preserve">Source-of-truth reference for HUBSS website product copy. Replaces existing website descriptions that have been flagged as inaccurate or embellished. Doug Bain to review, correct, and sign off — every claim on the website must be supported by a fact listed in this document.</w:t>
      </w:r>
    </w:p>
    <w:p>
      <w:pPr>
        <w:spacing w:after="0" w:before="100"/>
      </w:pPr>
    </w:p>
    <w:p>
      <w:pPr>
        <w:pBdr>
          <w:bottom w:val="single" w:color="D1D5DB" w:sz="6" w:space="1"/>
        </w:pBdr>
      </w:pPr>
    </w:p>
    <w:p>
      <w:pPr>
        <w:pStyle w:val="Heading2"/>
        <w:spacing w:after="120" w:before="320"/>
      </w:pPr>
      <w:r>
        <w:rPr>
          <w:b/>
          <w:bCs/>
          <w:color w:val="0A0A0A"/>
          <w:sz w:val="26"/>
          <w:szCs w:val="26"/>
        </w:rPr>
        <w:t xml:space="preserve">What it is</w:t>
      </w:r>
    </w:p>
    <w:p>
      <w:pPr>
        <w:spacing w:after="120" w:before="0" w:line="300"/>
      </w:pPr>
      <w:r>
        <w:rPr>
          <w:color w:val="111827"/>
          <w:sz w:val="22"/>
          <w:szCs w:val="22"/>
        </w:rPr>
        <w:t xml:space="preserve">A two-component methyl methacrylate (MMA) resin coating with corundum aggregate. Squeegee-, roller-, or spray-applied. Used as a coloured lane treatment for transit lanes, BRT corridors, and cycle priority zones — anywhere a fast-curing, high-grip, fade-resistant coloured surface is needed.</w:t>
      </w:r>
    </w:p>
    <w:p>
      <w:pPr>
        <w:spacing w:after="120" w:before="0" w:line="300"/>
      </w:pPr>
      <w:r>
        <w:rPr>
          <w:color w:val="111827"/>
          <w:sz w:val="22"/>
          <w:szCs w:val="22"/>
        </w:rPr>
        <w:t xml:space="preserve">Not a preformed thermoplastic. MMAX is liquid-applied and cures via a BPO (benzoyl peroxide) catalyst added at installation.</w:t>
      </w:r>
    </w:p>
    <w:p>
      <w:pPr>
        <w:pStyle w:val="Heading2"/>
        <w:spacing w:after="120" w:before="320"/>
      </w:pPr>
      <w:r>
        <w:rPr>
          <w:b/>
          <w:bCs/>
          <w:color w:val="0A0A0A"/>
          <w:sz w:val="26"/>
          <w:szCs w:val="26"/>
        </w:rPr>
        <w:t xml:space="preserve">Key features</w:t>
      </w:r>
    </w:p>
    <w:p>
      <w:pPr>
        <w:pStyle w:val="ListParagraph"/>
        <w:numPr>
          <w:ilvl w:val="0"/>
          <w:numId w:val="2"/>
        </w:numPr>
        <w:spacing w:after="80" w:before="0" w:line="280"/>
      </w:pPr>
      <w:r>
        <w:rPr>
          <w:color w:val="111827"/>
          <w:sz w:val="22"/>
          <w:szCs w:val="22"/>
        </w:rPr>
        <w:t xml:space="preserve">Cures to traffic-ready in 30 to 60 minutes — typically 45 minutes — enabling complete overnight installation in active corridors.</w:t>
      </w:r>
    </w:p>
    <w:p>
      <w:pPr>
        <w:pStyle w:val="ListParagraph"/>
        <w:numPr>
          <w:ilvl w:val="0"/>
          <w:numId w:val="2"/>
        </w:numPr>
        <w:spacing w:after="80" w:before="0" w:line="280"/>
      </w:pPr>
      <w:r>
        <w:rPr>
          <w:color w:val="111827"/>
          <w:sz w:val="22"/>
          <w:szCs w:val="22"/>
        </w:rPr>
        <w:t xml:space="preserve">Corundum aggregate (9 Mohs hardness — hardest in the anti-skid lineup) embedded throughout the cured film.</w:t>
      </w:r>
    </w:p>
    <w:p>
      <w:pPr>
        <w:pStyle w:val="ListParagraph"/>
        <w:numPr>
          <w:ilvl w:val="0"/>
          <w:numId w:val="2"/>
        </w:numPr>
        <w:spacing w:after="80" w:before="0" w:line="280"/>
      </w:pPr>
      <w:r>
        <w:rPr>
          <w:color w:val="111827"/>
          <w:sz w:val="22"/>
          <w:szCs w:val="22"/>
        </w:rPr>
        <w:t xml:space="preserve">Extended Season variant applies down to 35°F (2°C) substrate temperature and up to 150°F (66°C).</w:t>
      </w:r>
    </w:p>
    <w:p>
      <w:pPr>
        <w:pStyle w:val="ListParagraph"/>
        <w:numPr>
          <w:ilvl w:val="0"/>
          <w:numId w:val="2"/>
        </w:numPr>
        <w:spacing w:after="80" w:before="0" w:line="280"/>
      </w:pPr>
      <w:r>
        <w:rPr>
          <w:color w:val="111827"/>
          <w:sz w:val="22"/>
          <w:szCs w:val="22"/>
        </w:rPr>
        <w:t xml:space="preserve">VOC &lt; 100 g/L (calculated) for the Extended Season formulation.</w:t>
      </w:r>
    </w:p>
    <w:p>
      <w:pPr>
        <w:pStyle w:val="ListParagraph"/>
        <w:numPr>
          <w:ilvl w:val="0"/>
          <w:numId w:val="2"/>
        </w:numPr>
        <w:spacing w:after="80" w:before="0" w:line="280"/>
      </w:pPr>
      <w:r>
        <w:rPr>
          <w:color w:val="111827"/>
          <w:sz w:val="22"/>
          <w:szCs w:val="22"/>
        </w:rPr>
        <w:t xml:space="preserve">EF Green colour meets FHWA chromaticity coordinates for bike-lane green; Transit Lane Red meets coordinates for bus-lane red.</w:t>
      </w:r>
    </w:p>
    <w:p>
      <w:pPr>
        <w:pStyle w:val="ListParagraph"/>
        <w:numPr>
          <w:ilvl w:val="0"/>
          <w:numId w:val="2"/>
        </w:numPr>
        <w:spacing w:after="80" w:before="0" w:line="280"/>
      </w:pPr>
      <w:r>
        <w:rPr>
          <w:color w:val="111827"/>
          <w:sz w:val="22"/>
          <w:szCs w:val="22"/>
        </w:rPr>
        <w:t xml:space="preserve">ISO 9001:2015 certified manufacturing.</w:t>
      </w:r>
    </w:p>
    <w:p>
      <w:pPr>
        <w:pStyle w:val="Heading2"/>
        <w:spacing w:after="120" w:before="320"/>
      </w:pPr>
      <w:r>
        <w:rPr>
          <w:b/>
          <w:bCs/>
          <w:color w:val="0A0A0A"/>
          <w:sz w:val="26"/>
          <w:szCs w:val="26"/>
        </w:rPr>
        <w:t xml:space="preserve">Technical specifications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200"/>
        <w:gridCol w:w="6880"/>
      </w:tblGrid>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Material</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Two-component MMA resin + corundum aggregate. BPO catalyst added at install.</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Aggregate hardness</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Corundum, 9 Mohs</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Density</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18.5 ± 0.5 lbs/gallon (ASTM D1475)</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Viscosity</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85–105 Krebs</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Shore hardness</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50–60 Shore D (ASTM D2240)</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Elongation</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&gt; 30% (ASTM D638 Type I)</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Total solids</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&gt; 99%</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Water absorption</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&lt; 0.25% (ASTM D570)</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VOC</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&lt; 100 g/L (Extended Season)</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Build thickness</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90 mil typical per kit coverage spec</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Application temperature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35°F to 150°F (2°C to 66°C) substrate temp (Extended Season variant)</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Pot life after BPO addition</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&lt; 15 minutes</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No-pickup time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&lt; 30 minutes at 77°F (25°C) per ASTM D711</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Cure to traffic</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30–60 minutes (temperature + catalyst dependent)</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Skid resistance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&gt; 60 BPN per ASTM E303 (Extended Season with corundum)</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Coverage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45–50 sq ft per kit at 90-mil build (one kit = 2.79 gal mixed)</w:t>
            </w:r>
          </w:p>
        </w:tc>
      </w:tr>
      <w:tr>
        <w:tc>
          <w:tcPr>
            <w:tcW w:type="dxa" w:w="3200"/>
            <w:tcBorders>
              <w:top w:val="none" w:color="FFFFFF" w:sz="0"/>
              <w:left w:val="none" w:color="FFFFFF" w:sz="0"/>
              <w:bottom w:val="none" w:color="FFFFFF" w:sz="0"/>
              <w:right w:val="none" w:color="FFFFFF" w:sz="0"/>
            </w:tcBorders>
            <w:tcMar>
              <w:top w:type="dxa" w:w="120"/>
              <w:left w:type="dxa" w:w="0"/>
              <w:bottom w:type="dxa" w:w="120"/>
              <w:right w:type="dxa" w:w="120"/>
            </w:tcMar>
          </w:tcPr>
          <w:p>
            <w:r>
              <w:rPr>
                <w:b/>
                <w:bCs/>
                <w:color w:val="374151"/>
                <w:sz w:val="20"/>
                <w:szCs w:val="20"/>
              </w:rPr>
              <w:t xml:space="preserve">Shelf life</w:t>
            </w:r>
          </w:p>
        </w:tc>
        <w:tc>
          <w:tcPr>
            <w:tcW w:type="dxa" w:w="6880"/>
            <w:tcBorders>
              <w:top w:val="none" w:color="FFFFFF" w:sz="0"/>
              <w:left w:val="none" w:color="FFFFFF" w:sz="0"/>
              <w:bottom w:val="none" w:color="FFFFFF" w:sz="0"/>
              <w:right w:val="none" w:color="FFFFFF" w:sz="0"/>
            </w:tcBorders>
            <w:tcMar>
              <w:top w:type="dxa" w:w="120"/>
              <w:left w:type="dxa" w:w="120"/>
              <w:bottom w:type="dxa" w:w="120"/>
              <w:right w:type="dxa" w:w="0"/>
            </w:tcMar>
          </w:tcPr>
          <w:p>
            <w:r>
              <w:rPr>
                <w:color w:val="111827"/>
                <w:sz w:val="22"/>
                <w:szCs w:val="22"/>
              </w:rPr>
              <w:t xml:space="preserve">1 year unopened, stored 40°F–80°F</w:t>
            </w:r>
          </w:p>
        </w:tc>
      </w:tr>
    </w:tbl>
    <w:p>
      <w:pPr>
        <w:pStyle w:val="Heading2"/>
        <w:spacing w:after="120" w:before="320"/>
      </w:pPr>
      <w:r>
        <w:rPr>
          <w:b/>
          <w:bCs/>
          <w:color w:val="0A0A0A"/>
          <w:sz w:val="26"/>
          <w:szCs w:val="26"/>
        </w:rPr>
        <w:t xml:space="preserve">Colours / palette</w:t>
      </w:r>
    </w:p>
    <w:p>
      <w:pPr>
        <w:spacing w:after="120" w:before="0" w:line="300"/>
      </w:pPr>
      <w:r>
        <w:rPr>
          <w:color w:val="111827"/>
          <w:sz w:val="22"/>
          <w:szCs w:val="22"/>
        </w:rPr>
        <w:t xml:space="preserve">8 standard kit colours: EF Green (PMS 361C), Transit Lane Red (PMS 7622C), Truffle (PMS 7530C), Terracotta (PMS 7595C), Brick Red (PMS 7624C), Hollywood Green (PMS 7484C), Red (PMS 200C), White. Older PDS lists EF Black, EF Yellow, EF Blue, and EF Bus Lane Red as additional options. Custom colours available on request.</w:t>
      </w:r>
    </w:p>
    <w:p>
      <w:pPr>
        <w:pStyle w:val="Heading2"/>
        <w:spacing w:after="120" w:before="320"/>
      </w:pPr>
      <w:r>
        <w:rPr>
          <w:b/>
          <w:bCs/>
          <w:color w:val="0A0A0A"/>
          <w:sz w:val="26"/>
          <w:szCs w:val="26"/>
        </w:rPr>
        <w:t xml:space="preserve">Applications &amp; ideal use-cases</w:t>
      </w:r>
    </w:p>
    <w:p>
      <w:pPr>
        <w:pStyle w:val="ListParagraph"/>
        <w:numPr>
          <w:ilvl w:val="0"/>
          <w:numId w:val="2"/>
        </w:numPr>
        <w:spacing w:after="80" w:before="0" w:line="280"/>
      </w:pPr>
      <w:r>
        <w:rPr>
          <w:color w:val="111827"/>
          <w:sz w:val="22"/>
          <w:szCs w:val="22"/>
        </w:rPr>
        <w:t xml:space="preserve">Coloured bike lanes (EF Green)</w:t>
      </w:r>
    </w:p>
    <w:p>
      <w:pPr>
        <w:pStyle w:val="ListParagraph"/>
        <w:numPr>
          <w:ilvl w:val="0"/>
          <w:numId w:val="2"/>
        </w:numPr>
        <w:spacing w:after="80" w:before="0" w:line="280"/>
      </w:pPr>
      <w:r>
        <w:rPr>
          <w:color w:val="111827"/>
          <w:sz w:val="22"/>
          <w:szCs w:val="22"/>
        </w:rPr>
        <w:t xml:space="preserve">Coloured bus lanes / BRT corridors (Transit Lane Red)</w:t>
      </w:r>
    </w:p>
    <w:p>
      <w:pPr>
        <w:pStyle w:val="ListParagraph"/>
        <w:numPr>
          <w:ilvl w:val="0"/>
          <w:numId w:val="2"/>
        </w:numPr>
        <w:spacing w:after="80" w:before="0" w:line="280"/>
      </w:pPr>
      <w:r>
        <w:rPr>
          <w:color w:val="111827"/>
          <w:sz w:val="22"/>
          <w:szCs w:val="22"/>
        </w:rPr>
        <w:t xml:space="preserve">Transit priority surfaces and bus-stop pads</w:t>
      </w:r>
    </w:p>
    <w:p>
      <w:pPr>
        <w:pStyle w:val="ListParagraph"/>
        <w:numPr>
          <w:ilvl w:val="0"/>
          <w:numId w:val="2"/>
        </w:numPr>
        <w:spacing w:after="80" w:before="0" w:line="280"/>
      </w:pPr>
      <w:r>
        <w:rPr>
          <w:color w:val="111827"/>
          <w:sz w:val="22"/>
          <w:szCs w:val="22"/>
        </w:rPr>
        <w:t xml:space="preserve">Coloured crosswalks where rapid cure is required</w:t>
      </w:r>
    </w:p>
    <w:p>
      <w:pPr>
        <w:pStyle w:val="ListParagraph"/>
        <w:numPr>
          <w:ilvl w:val="0"/>
          <w:numId w:val="2"/>
        </w:numPr>
        <w:spacing w:after="80" w:before="0" w:line="280"/>
      </w:pPr>
      <w:r>
        <w:rPr>
          <w:color w:val="111827"/>
          <w:sz w:val="22"/>
          <w:szCs w:val="22"/>
        </w:rPr>
        <w:t xml:space="preserve">Symbols and legends on coloured background lanes</w:t>
      </w:r>
    </w:p>
    <w:p>
      <w:pPr>
        <w:pStyle w:val="ListParagraph"/>
        <w:numPr>
          <w:ilvl w:val="0"/>
          <w:numId w:val="2"/>
        </w:numPr>
        <w:spacing w:after="80" w:before="0" w:line="280"/>
      </w:pPr>
      <w:r>
        <w:rPr>
          <w:color w:val="111827"/>
          <w:sz w:val="22"/>
          <w:szCs w:val="22"/>
        </w:rPr>
        <w:t xml:space="preserve">Cool-weather and shoulder-season work where MMAX Extended Season's wider temperature window is needed</w:t>
      </w:r>
    </w:p>
    <w:p>
      <w:pPr>
        <w:pStyle w:val="Heading2"/>
        <w:spacing w:after="120" w:before="320"/>
      </w:pPr>
      <w:r>
        <w:rPr>
          <w:b/>
          <w:bCs/>
          <w:color w:val="0A0A0A"/>
          <w:sz w:val="26"/>
          <w:szCs w:val="26"/>
        </w:rPr>
        <w:t xml:space="preserve">Document library</w:t>
      </w:r>
    </w:p>
    <w:p>
      <w:pPr>
        <w:spacing w:after="120" w:before="0" w:line="300"/>
      </w:pPr>
      <w:r>
        <w:rPr>
          <w:color w:val="111827"/>
          <w:sz w:val="22"/>
          <w:szCs w:val="22"/>
        </w:rPr>
        <w:t xml:space="preserve">Current document set for this product. Proposed clean titles below — fixes duplicate / generic naming on the current site.</w:t>
      </w:r>
    </w:p>
    <w:p>
      <w:pPr>
        <w:spacing w:after="0" w:before="8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4800"/>
        <w:gridCol w:w="2000"/>
        <w:gridCol w:w="3280"/>
      </w:tblGrid>
      <w:tr>
        <w:trPr>
          <w:tblHeader/>
        </w:trPr>
        <w:tc>
          <w:tcPr>
            <w:tcW w:type="dxa" w:w="4800"/>
            <w:tcBorders>
              <w:top w:val="none" w:color="FFFFFF" w:sz="0"/>
              <w:left w:val="none" w:color="FFFFFF" w:sz="0"/>
              <w:bottom w:val="single" w:color="9CA3AF" w:sz="8"/>
              <w:right w:val="none" w:color="FFFFFF" w:sz="0"/>
            </w:tcBorders>
            <w:shd w:fill="F9FAFB" w:color="auto" w:val="clear"/>
            <w:tcMar>
              <w:top w:type="dxa" w:w="100"/>
              <w:left w:type="dxa" w:w="0"/>
              <w:bottom w:type="dxa" w:w="100"/>
              <w:right w:type="dxa" w:w="120"/>
            </w:tcMar>
          </w:tcPr>
          <w:p>
            <w:r>
              <w:rPr>
                <w:b/>
                <w:bCs/>
                <w:color w:val="374151"/>
                <w:spacing w:val="12"/>
                <w:sz w:val="18"/>
                <w:szCs w:val="18"/>
              </w:rPr>
              <w:t xml:space="preserve">Document title</w:t>
            </w:r>
          </w:p>
        </w:tc>
        <w:tc>
          <w:tcPr>
            <w:tcW w:type="dxa" w:w="2000"/>
            <w:tcBorders>
              <w:top w:val="none" w:color="FFFFFF" w:sz="0"/>
              <w:left w:val="none" w:color="FFFFFF" w:sz="0"/>
              <w:bottom w:val="single" w:color="9CA3AF" w:sz="8"/>
              <w:right w:val="none" w:color="FFFFFF" w:sz="0"/>
            </w:tcBorders>
            <w:shd w:fill="F9FAFB" w:color="auto" w:val="clear"/>
            <w:tcMar>
              <w:top w:type="dxa" w:w="100"/>
              <w:left w:type="dxa" w:w="0"/>
              <w:bottom w:type="dxa" w:w="100"/>
              <w:right w:type="dxa" w:w="120"/>
            </w:tcMar>
          </w:tcPr>
          <w:p>
            <w:r>
              <w:rPr>
                <w:b/>
                <w:bCs/>
                <w:color w:val="374151"/>
                <w:spacing w:val="12"/>
                <w:sz w:val="18"/>
                <w:szCs w:val="18"/>
              </w:rPr>
              <w:t xml:space="preserve">Type</w:t>
            </w:r>
          </w:p>
        </w:tc>
        <w:tc>
          <w:tcPr>
            <w:tcW w:type="dxa" w:w="3280"/>
            <w:tcBorders>
              <w:top w:val="none" w:color="FFFFFF" w:sz="0"/>
              <w:left w:val="none" w:color="FFFFFF" w:sz="0"/>
              <w:bottom w:val="single" w:color="9CA3AF" w:sz="8"/>
              <w:right w:val="none" w:color="FFFFFF" w:sz="0"/>
            </w:tcBorders>
            <w:shd w:fill="F9FAFB" w:color="auto" w:val="clear"/>
            <w:tcMar>
              <w:top w:type="dxa" w:w="100"/>
              <w:left w:type="dxa" w:w="0"/>
              <w:bottom w:type="dxa" w:w="100"/>
              <w:right w:type="dxa" w:w="120"/>
            </w:tcMar>
          </w:tcPr>
          <w:p>
            <w:r>
              <w:rPr>
                <w:b/>
                <w:bCs/>
                <w:color w:val="374151"/>
                <w:spacing w:val="12"/>
                <w:sz w:val="18"/>
                <w:szCs w:val="18"/>
              </w:rPr>
              <w:t xml:space="preserve">File</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MMAX Product Data Sheet</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TDS</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MMAX-Product-Data.pdf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MMAX Next-Gen Brochure</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Brochure</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MMAX-Next-Gen-Brochure_06_09_23-1.pdf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Extended Season MMAX — Product Data Sheet</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TDS</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Extended-Season-MMAX-product-data-sheet.pdf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Extended Season MMAX Corundum — Product Data Sheet</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TDS</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Extended-Season-MMAX-Corundum-PDS-070723.pdf</w:t>
            </w:r>
          </w:p>
        </w:tc>
      </w:tr>
      <w:tr>
        <w:tc>
          <w:tcPr>
            <w:tcW w:type="dxa" w:w="4800"/>
            <w:tcBorders>
              <w:top w:val="none" w:color="FFFFFF" w:sz="0"/>
              <w:left w:val="none" w:color="FFFFFF" w:sz="0"/>
              <w:bottom w:val="none" w:color="FFFFFF" w:sz="0"/>
              <w:right w:val="none" w:color="FFFFFF" w:sz="0"/>
            </w:tcBorders>
            <w:tcMar>
              <w:top w:type="dxa" w:w="100"/>
              <w:left w:type="dxa" w:w="0"/>
              <w:bottom w:type="dxa" w:w="100"/>
              <w:right w:type="dxa" w:w="120"/>
            </w:tcMar>
          </w:tcPr>
          <w:p>
            <w:r>
              <w:rPr>
                <w:b/>
                <w:bCs/>
                <w:color w:val="111827"/>
                <w:sz w:val="21"/>
                <w:szCs w:val="21"/>
              </w:rPr>
              <w:t xml:space="preserve">Corundum Area Markings — Application Instructions</w:t>
            </w:r>
          </w:p>
        </w:tc>
        <w:tc>
          <w:tcPr>
            <w:tcW w:type="dxa" w:w="2000"/>
            <w:tcBorders>
              <w:top w:val="none" w:color="FFFFFF" w:sz="0"/>
              <w:left w:val="none" w:color="FFFFFF" w:sz="0"/>
              <w:bottom w:val="none" w:color="FFFFFF" w:sz="0"/>
              <w:right w:val="none" w:color="FFFFFF" w:sz="0"/>
            </w:tcBorders>
            <w:tcMar>
              <w:top w:type="dxa" w:w="100"/>
              <w:left w:type="dxa" w:w="0"/>
              <w:bottom w:type="dxa" w:w="100"/>
              <w:right w:type="dxa" w:w="120"/>
            </w:tcMar>
          </w:tcPr>
          <w:p>
            <w:r>
              <w:rPr>
                <w:b/>
                <w:bCs/>
                <w:color w:val="F97316"/>
                <w:sz w:val="18"/>
                <w:szCs w:val="18"/>
              </w:rPr>
              <w:t xml:space="preserve">Installation</w:t>
            </w:r>
          </w:p>
        </w:tc>
        <w:tc>
          <w:tcPr>
            <w:tcW w:type="dxa" w:w="3280"/>
            <w:tcBorders>
              <w:top w:val="none" w:color="FFFFFF" w:sz="0"/>
              <w:left w:val="none" w:color="FFFFFF" w:sz="0"/>
              <w:bottom w:val="none" w:color="FFFFFF" w:sz="0"/>
              <w:right w:val="none" w:color="FFFFFF" w:sz="0"/>
            </w:tcBorders>
            <w:tcMar>
              <w:top w:type="dxa" w:w="100"/>
              <w:left w:type="dxa" w:w="0"/>
              <w:bottom w:type="dxa" w:w="100"/>
              <w:right w:type="dxa" w:w="0"/>
            </w:tcMar>
          </w:tcPr>
          <w:p>
            <w:r>
              <w:rPr>
                <w:i/>
                <w:iCs/>
                <w:color w:val="6B7280"/>
                <w:sz w:val="16"/>
                <w:szCs w:val="16"/>
              </w:rPr>
              <w:t xml:space="preserve">Application_Instructions_MMAX_Corundum_Area_Markings.pdf</w:t>
            </w:r>
          </w:p>
        </w:tc>
      </w:tr>
    </w:tbl>
    <w:p>
      <w:pPr>
        <w:pStyle w:val="Heading2"/>
        <w:spacing w:after="120" w:before="320"/>
      </w:pPr>
      <w:r>
        <w:rPr>
          <w:b/>
          <w:bCs/>
          <w:color w:val="0A0A0A"/>
          <w:sz w:val="26"/>
          <w:szCs w:val="26"/>
        </w:rPr>
        <w:t xml:space="preserve">Source notes &amp; [VERIFY] flags</w:t>
      </w:r>
    </w:p>
    <w:p>
      <w:pPr>
        <w:spacing w:after="60" w:before="0"/>
      </w:pPr>
      <w:r>
        <w:rPr>
          <w:b/>
          <w:bCs/>
          <w:color w:val="F97316"/>
          <w:spacing w:val="24"/>
          <w:sz w:val="16"/>
          <w:szCs w:val="16"/>
        </w:rPr>
        <w:t xml:space="preserve">SOURCES USED</w:t>
      </w:r>
    </w:p>
    <w:p>
      <w:pPr>
        <w:pStyle w:val="ListParagraph"/>
        <w:numPr>
          <w:ilvl w:val="0"/>
          <w:numId w:val="2"/>
        </w:numPr>
        <w:spacing w:after="80" w:before="0" w:line="280"/>
      </w:pPr>
      <w:r>
        <w:rPr>
          <w:color w:val="111827"/>
          <w:sz w:val="22"/>
          <w:szCs w:val="22"/>
        </w:rPr>
        <w:t xml:space="preserve">MMAX Product Data Sheet and Extended Season variants (.pdf)</w:t>
      </w:r>
    </w:p>
    <w:p>
      <w:pPr>
        <w:pStyle w:val="ListParagraph"/>
        <w:numPr>
          <w:ilvl w:val="0"/>
          <w:numId w:val="2"/>
        </w:numPr>
        <w:spacing w:after="80" w:before="0" w:line="280"/>
      </w:pPr>
      <w:r>
        <w:rPr>
          <w:color w:val="111827"/>
          <w:sz w:val="22"/>
          <w:szCs w:val="22"/>
        </w:rPr>
        <w:t xml:space="preserve">MMAX Application Instructions for Corundum Area Markings (.pdf)</w:t>
      </w:r>
    </w:p>
    <w:p>
      <w:pPr>
        <w:pStyle w:val="ListParagraph"/>
        <w:numPr>
          <w:ilvl w:val="0"/>
          <w:numId w:val="2"/>
        </w:numPr>
        <w:spacing w:after="80" w:before="0" w:line="280"/>
      </w:pPr>
      <w:r>
        <w:rPr>
          <w:color w:val="111827"/>
          <w:sz w:val="22"/>
          <w:szCs w:val="22"/>
        </w:rPr>
        <w:t xml:space="preserve">MMAX Next-Gen Brochure (.pdf)</w:t>
      </w:r>
    </w:p>
    <w:p>
      <w:pPr>
        <w:spacing w:after="0" w:before="120"/>
      </w:pPr>
    </w:p>
    <w:p>
      <w:pPr>
        <w:spacing w:after="60" w:before="0"/>
      </w:pPr>
      <w:r>
        <w:rPr>
          <w:b/>
          <w:bCs/>
          <w:color w:val="F97316"/>
          <w:spacing w:val="24"/>
          <w:sz w:val="16"/>
          <w:szCs w:val="16"/>
        </w:rPr>
        <w:t xml:space="preserve">ITEMS REQUIRING DOUG'S CONFIRMATION</w:t>
      </w: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Current site spec "+3°C and rising minimum temperature" — conservative compared to Extended Season MMAX's documented 35°F (≈ 2°C) floor. Both are correct, but Extended Season is the actual selling point. Recommend revising to "Extended Season variant applies down to 2°C substrate temperature, up to 66°C."</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Current site says "1.5–3 mm thickness applied." The PDS states 90 mil typical build (≈ 2.3 mm). 1.5 mm is below the documented build; 3 mm is above. Recommend tightening to "approximately 2.3 mm (90 mil) typical build, applied in two coats."</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Current site says "acrylic-MMA chemistry" for UV stability. MMAX is described in the PDS as pure MMA — no acrylic component. Recommend revising to "MMA-based, UV-stable pigments."</w:t>
            </w:r>
          </w:p>
        </w:tc>
      </w:tr>
    </w:tbl>
    <w:p>
      <w:pPr>
        <w:spacing w:after="0" w:before="60"/>
      </w:pPr>
    </w:p>
    <w:p>
      <w:pPr>
        <w:spacing w:after="0" w:before="120"/>
      </w:pPr>
    </w:p>
    <w:p>
      <w:pPr>
        <w:spacing w:after="60" w:before="0"/>
      </w:pPr>
      <w:r>
        <w:rPr>
          <w:b/>
          <w:bCs/>
          <w:color w:val="F97316"/>
          <w:spacing w:val="24"/>
          <w:sz w:val="16"/>
          <w:szCs w:val="16"/>
        </w:rPr>
        <w:t xml:space="preserve">CURRENT SITE COPY FLAGGED AS INACCURATE / EMBELLISHED</w:t>
      </w: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Site spec lists temperature as "+3°C and rising" — Extended Season's actual lower limit is 35°F (2°C). The site is more conservative than the manufacturer's documented capability.</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Site spec lists "1.5–3mm applied" thickness. Manufacturer's typical build is 90 mil ≈ 2.3 mm. Range on the site is wider than the manufacturer's recipe.</w:t>
            </w:r>
          </w:p>
        </w:tc>
      </w:tr>
    </w:tbl>
    <w:p>
      <w:pPr>
        <w:spacing w:after="0" w:before="60"/>
      </w:pPr>
    </w:p>
    <w:p>
      <w:pPr>
        <w:spacing w:after="80" w:before="320"/>
      </w:pPr>
    </w:p>
    <w:p>
      <w:pPr>
        <w:pBdr>
          <w:bottom w:val="single" w:color="D1D5DB" w:sz="6" w:space="1"/>
        </w:pBdr>
      </w:pPr>
    </w:p>
    <w:p>
      <w:pPr>
        <w:spacing w:after="0" w:before="200"/>
      </w:pPr>
      <w:r>
        <w:rPr>
          <w:b/>
          <w:bCs/>
          <w:color w:val="374151"/>
          <w:sz w:val="20"/>
          <w:szCs w:val="20"/>
        </w:rPr>
        <w:t xml:space="preserve">Approved for website use by: </w:t>
      </w:r>
      <w:r>
        <w:rPr>
          <w:color w:val="374151"/>
          <w:sz w:val="20"/>
          <w:szCs w:val="20"/>
        </w:rPr>
        <w:t xml:space="preserve">______________________________   Date: ______________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HUBSS — Product Source of Truth (DRAFT) · </w:t>
    </w: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80"/>
      <w:outlineLvl w:val="0"/>
    </w:pPr>
    <w:rPr>
      <w:rFonts w:ascii="Calibri" w:cs="Calibri" w:eastAsia="Calibri" w:hAnsi="Calibri"/>
      <w:b/>
      <w:bCs/>
      <w:color w:val="0A0A0A"/>
      <w:sz w:val="44"/>
      <w:szCs w:val="44"/>
    </w:rPr>
  </w:style>
  <w:style w:type="paragraph" w:styleId="Heading2">
    <w:name w:val="Heading 2"/>
    <w:basedOn w:val="Normal"/>
    <w:next w:val="Normal"/>
    <w:qFormat/>
    <w:pPr>
      <w:spacing w:after="120" w:before="320"/>
      <w:outlineLvl w:val="1"/>
    </w:pPr>
    <w:rPr>
      <w:rFonts w:ascii="Calibri" w:cs="Calibri" w:eastAsia="Calibri" w:hAnsi="Calibri"/>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HUBSS Product Source of Truth</dc:title>
  <dc:creator>Based Agency for HUB Surface Systems</dc:creator>
  <dc:description>Draft source-of-truth product reference for client sign-off.</dc:description>
  <cp:lastModifiedBy>Un-named</cp:lastModifiedBy>
  <cp:revision>1</cp:revision>
  <dcterms:created xsi:type="dcterms:W3CDTF">2026-05-22T00:05:06.218Z</dcterms:created>
  <dcterms:modified xsi:type="dcterms:W3CDTF">2026-05-22T00:05:06.218Z</dcterms:modified>
</cp:coreProperties>
</file>

<file path=docProps/custom.xml><?xml version="1.0" encoding="utf-8"?>
<Properties xmlns="http://schemas.openxmlformats.org/officeDocument/2006/custom-properties" xmlns:vt="http://schemas.openxmlformats.org/officeDocument/2006/docPropsVTypes"/>
</file>