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F97316"/>
          <w:spacing w:val="24"/>
          <w:sz w:val="16"/>
          <w:szCs w:val="16"/>
        </w:rPr>
        <w:t xml:space="preserve">FLAGSHIP — COLOURED PAVEMENT COATING SYSTEM</w:t>
      </w:r>
    </w:p>
    <w:p>
      <w:pPr>
        <w:pStyle w:val="Heading1"/>
        <w:spacing w:after="200" w:before="80"/>
      </w:pPr>
      <w:r>
        <w:rPr>
          <w:b/>
          <w:bCs/>
          <w:color w:val="0A0A0A"/>
          <w:sz w:val="44"/>
          <w:szCs w:val="44"/>
        </w:rPr>
        <w:t xml:space="preserve">StreetBond</w:t>
      </w:r>
    </w:p>
    <w:p>
      <w:pPr>
        <w:spacing w:after="200" w:before="0"/>
      </w:pPr>
      <w:r>
        <w:rPr>
          <w:b/>
          <w:bCs/>
          <w:color w:val="374151"/>
          <w:sz w:val="22"/>
          <w:szCs w:val="22"/>
        </w:rPr>
        <w:t xml:space="preserve">Manufacturer: </w:t>
      </w:r>
      <w:r>
        <w:rPr>
          <w:color w:val="111827"/>
          <w:sz w:val="22"/>
          <w:szCs w:val="22"/>
        </w:rPr>
        <w:t xml:space="preserve">GAF / StreetBond (1 Campus Drive, Parsippany-Troy Hills, NJ 07054). NOT an Ennis-Flint / PPG product. HUBSS is the Canadian distributor. NOTE: legacy PDFs reference Quest Construction Products, the previous brand owner.</w:t>
      </w:r>
    </w:p>
    <w:p>
      <w:pPr>
        <w:pBdr>
          <w:bottom w:val="single" w:color="F97316" w:sz="12" w:space="1"/>
        </w:pBdr>
      </w:pP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F97316"/>
          <w:spacing w:val="24"/>
          <w:sz w:val="16"/>
          <w:szCs w:val="16"/>
        </w:rPr>
        <w:t xml:space="preserve">PURPOSE OF THIS DOCUMENT</w:t>
      </w:r>
    </w:p>
    <w:p>
      <w:pPr>
        <w:spacing w:after="120" w:before="0" w:line="300"/>
      </w:pPr>
      <w:r>
        <w:rPr>
          <w:color w:val="111827"/>
          <w:sz w:val="22"/>
          <w:szCs w:val="22"/>
        </w:rPr>
        <w:t xml:space="preserve">Source-of-truth reference for HUBSS website product copy. Replaces existing website descriptions that have been flagged as inaccurate or embellished. Doug Bain to review, correct, and sign off — every claim on the website must be supported by a fact listed in this document.</w:t>
      </w:r>
    </w:p>
    <w:p>
      <w:pPr>
        <w:spacing w:after="0" w:before="100"/>
      </w:pPr>
    </w:p>
    <w:p>
      <w:pPr>
        <w:pBdr>
          <w:bottom w:val="single" w:color="D1D5DB" w:sz="6" w:space="1"/>
        </w:pBdr>
      </w:pPr>
    </w:p>
    <w:p>
      <w:pPr>
        <w:pStyle w:val="Heading2"/>
        <w:spacing w:after="120" w:before="320"/>
      </w:pPr>
      <w:r>
        <w:rPr>
          <w:b/>
          <w:bCs/>
          <w:color w:val="0A0A0A"/>
          <w:sz w:val="26"/>
          <w:szCs w:val="26"/>
        </w:rPr>
        <w:t xml:space="preserve">What it is</w:t>
      </w:r>
    </w:p>
    <w:p>
      <w:pPr>
        <w:spacing w:after="120" w:before="0" w:line="300"/>
      </w:pPr>
      <w:r>
        <w:rPr>
          <w:color w:val="111827"/>
          <w:sz w:val="22"/>
          <w:szCs w:val="22"/>
        </w:rPr>
        <w:t xml:space="preserve">A high-performance waterborne epoxy-modified acrylic pavement coating that turns ordinary asphalt or concrete into coloured, durable, slip-resistant surfaces — bike lanes, bus priority lanes, decorative crosswalks, plazas, parks, and branded private installations.</w:t>
      </w:r>
    </w:p>
    <w:p>
      <w:pPr>
        <w:spacing w:after="120" w:before="0" w:line="300"/>
      </w:pPr>
      <w:r>
        <w:rPr>
          <w:color w:val="111827"/>
          <w:sz w:val="22"/>
          <w:szCs w:val="22"/>
        </w:rPr>
        <w:t xml:space="preserve">StreetBond is a system, not a single product. The line includes water-based variants (SB120, SB150, SB150 AL), MMA-based variants for cold-climate work (Pro 220, Pro 250), and concrete primers (QS solvent-based, WB waterborne).</w:t>
      </w:r>
    </w:p>
    <w:p>
      <w:pPr>
        <w:pStyle w:val="Heading2"/>
        <w:spacing w:after="120" w:before="320"/>
      </w:pPr>
      <w:r>
        <w:rPr>
          <w:b/>
          <w:bCs/>
          <w:color w:val="0A0A0A"/>
          <w:sz w:val="26"/>
          <w:szCs w:val="26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Waterborne epoxy-modified acrylic — flexes with the pavement, resists peeling, balances hardness against wear and slip.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73+ standard colours plus custom colour matching. 'Invisible Shade' technology pushes Solar Reflectance above 0.334 even on darker colours.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ADA-compliant.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VOC &lt; 50 g/L (calculated) for the water-based variants — well below SCAQMD Rule 1113 limits for industrial maintenance coatings.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1-year limited manufacturer warranty (additional coverage available for eligible projects).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Documented field performance: 10+ years on Beale Street (Memphis); 12+ years in Padua (Italy).</w:t>
      </w:r>
    </w:p>
    <w:p>
      <w:pPr>
        <w:pStyle w:val="Heading2"/>
        <w:spacing w:after="120" w:before="320"/>
      </w:pPr>
      <w:r>
        <w:rPr>
          <w:b/>
          <w:bCs/>
          <w:color w:val="0A0A0A"/>
          <w:sz w:val="26"/>
          <w:szCs w:val="26"/>
        </w:rPr>
        <w:t xml:space="preserve">Technical specifications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Product family</w:t>
            </w:r>
          </w:p>
        </w:tc>
        <w:tc>
          <w:tcPr>
            <w:tcW w:type="dxa" w:w="68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SB120 + SB150 + SB150 AL (water-based, epoxy-modified acrylic); Pro 220 + Pro 250 (MMA / PMMA); Concrete Primer QS + WB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Chemistry (water-based)</w:t>
            </w:r>
          </w:p>
        </w:tc>
        <w:tc>
          <w:tcPr>
            <w:tcW w:type="dxa" w:w="68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Two-component waterborne epoxy-modified acrylic (Part A + Part B + colourant)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Density</w:t>
            </w:r>
          </w:p>
        </w:tc>
        <w:tc>
          <w:tcPr>
            <w:tcW w:type="dxa" w:w="68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SB120: 14.0 lb/gal (1.67 g/mL); SB150: 13.7 lb/gal (1.65 g/mL); SB150 AL: 11.1 lb/gal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Volume solids</w:t>
            </w:r>
          </w:p>
        </w:tc>
        <w:tc>
          <w:tcPr>
            <w:tcW w:type="dxa" w:w="68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SB120: 54–61%; SB150: 53.5–60.6%; SB150 AL: 45.2 ± 2%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VOC</w:t>
            </w:r>
          </w:p>
        </w:tc>
        <w:tc>
          <w:tcPr>
            <w:tcW w:type="dxa" w:w="68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&lt; 50 g/L (calculated) for water-based variants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Drying — touch dry</w:t>
            </w:r>
          </w:p>
        </w:tc>
        <w:tc>
          <w:tcPr>
            <w:tcW w:type="dxa" w:w="68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1–4 hours at 77°F (25°C), 40% RH (ASTM D5895)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Cure — to traffic</w:t>
            </w:r>
          </w:p>
        </w:tc>
        <w:tc>
          <w:tcPr>
            <w:tcW w:type="dxa" w:w="68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6–24 hours (climate dependent)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Application temperature</w:t>
            </w:r>
          </w:p>
        </w:tc>
        <w:tc>
          <w:tcPr>
            <w:tcW w:type="dxa" w:w="68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50°F (10°C) and rising, up to 113°F (45°C). Surface temp must be 50°F and rising. No precipitation within 24 hours.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Coverage (single layer, sprayed)</w:t>
            </w:r>
          </w:p>
        </w:tc>
        <w:tc>
          <w:tcPr>
            <w:tcW w:type="dxa" w:w="68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≈ 600 ft² per 5-gal unit at 6.3 mil dry thickness (≈ 146 ft²/gal)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Coverage (3 layers, pedestrian)</w:t>
            </w:r>
          </w:p>
        </w:tc>
        <w:tc>
          <w:tcPr>
            <w:tcW w:type="dxa" w:w="68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≈ 200 ft² per unit (≈ 49 ft²/gal)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Coverage (4 layers, vehicular)</w:t>
            </w:r>
          </w:p>
        </w:tc>
        <w:tc>
          <w:tcPr>
            <w:tcW w:type="dxa" w:w="68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≈ 150 ft² per unit (≈ 36 ft²/gal)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Friction — SB150 (ASTM E303)</w:t>
            </w:r>
          </w:p>
        </w:tc>
        <w:tc>
          <w:tcPr>
            <w:tcW w:type="dxa" w:w="68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Dry 55–90 BPN / Wet 35–70 BPN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Taber abrasion — SB150 (H-10 wheel)</w:t>
            </w:r>
          </w:p>
        </w:tc>
        <w:tc>
          <w:tcPr>
            <w:tcW w:type="dxa" w:w="68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0.16–1.0 g per 1,000 cycles (dry)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Adhesion (ASTM D4541)</w:t>
            </w:r>
          </w:p>
        </w:tc>
        <w:tc>
          <w:tcPr>
            <w:tcW w:type="dxa" w:w="68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300–1,400 psi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Freeze point</w:t>
            </w:r>
          </w:p>
        </w:tc>
        <w:tc>
          <w:tcPr>
            <w:tcW w:type="dxa" w:w="68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32°F (0°C) — do not let pail freeze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Pro 220 / 250 application temp</w:t>
            </w:r>
          </w:p>
        </w:tc>
        <w:tc>
          <w:tcPr>
            <w:tcW w:type="dxa" w:w="6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32°F to 95°F (0–35°C); rain-proof in ~30 min at 68°F (20°C)</w:t>
            </w:r>
          </w:p>
        </w:tc>
      </w:tr>
    </w:tbl>
    <w:p>
      <w:pPr>
        <w:pStyle w:val="Heading2"/>
        <w:spacing w:after="120" w:before="320"/>
      </w:pPr>
      <w:r>
        <w:rPr>
          <w:b/>
          <w:bCs/>
          <w:color w:val="0A0A0A"/>
          <w:sz w:val="26"/>
          <w:szCs w:val="26"/>
        </w:rPr>
        <w:t xml:space="preserve">Colours / palette</w:t>
      </w:r>
    </w:p>
    <w:p>
      <w:pPr>
        <w:spacing w:after="120" w:before="0" w:line="300"/>
      </w:pPr>
      <w:r>
        <w:rPr>
          <w:color w:val="111827"/>
          <w:sz w:val="22"/>
          <w:szCs w:val="22"/>
        </w:rPr>
        <w:t xml:space="preserve">73+ standard colours plus full custom colour matching. Standard tile palette includes Traffic Red, Bike Lane Green, Sunflower, Pacific Blue, Civic Orange, Night White. SR-qualifying colours are flagged in the StreetBond Colour Guide. 'Invisible Shade' technology pushes Solar Reflectance above 0.334 on darker tones.</w:t>
      </w:r>
    </w:p>
    <w:p>
      <w:pPr>
        <w:pStyle w:val="Heading2"/>
        <w:spacing w:after="120" w:before="320"/>
      </w:pPr>
      <w:r>
        <w:rPr>
          <w:b/>
          <w:bCs/>
          <w:color w:val="0A0A0A"/>
          <w:sz w:val="26"/>
          <w:szCs w:val="26"/>
        </w:rPr>
        <w:t xml:space="preserve">Applications &amp; ideal use-cases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Bike lanes and cycle priority zones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Bus priority lanes and BRT station zones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Decorative coloured crosswalks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Civic plazas and pedestrian-priority surfaces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Parks and pathway surfacing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Branded private driveways and entryways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Sport courts and playground surfacing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Parking lots and parking-stall delineation</w:t>
      </w:r>
    </w:p>
    <w:p>
      <w:pPr>
        <w:pStyle w:val="Heading2"/>
        <w:spacing w:after="120" w:before="320"/>
      </w:pPr>
      <w:r>
        <w:rPr>
          <w:b/>
          <w:bCs/>
          <w:color w:val="0A0A0A"/>
          <w:sz w:val="26"/>
          <w:szCs w:val="26"/>
        </w:rPr>
        <w:t xml:space="preserve">Document library</w:t>
      </w:r>
    </w:p>
    <w:p>
      <w:pPr>
        <w:spacing w:after="120" w:before="0" w:line="300"/>
      </w:pPr>
      <w:r>
        <w:rPr>
          <w:color w:val="111827"/>
          <w:sz w:val="22"/>
          <w:szCs w:val="22"/>
        </w:rPr>
        <w:t xml:space="preserve">Current document set for this product. Proposed clean titles below — fixes duplicate / generic naming on the current site.</w:t>
      </w:r>
    </w:p>
    <w:p>
      <w:pPr>
        <w:spacing w:after="0" w:before="8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00"/>
        <w:gridCol w:w="2000"/>
        <w:gridCol w:w="3280"/>
      </w:tblGrid>
      <w:tr>
        <w:trPr>
          <w:tblHeader/>
        </w:trPr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9CA3AF" w:sz="8"/>
              <w:right w:val="none" w:color="FFFFFF" w:sz="0"/>
            </w:tcBorders>
            <w:shd w:fill="F9FAFB" w:color="auto" w:val="clear"/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374151"/>
                <w:spacing w:val="12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9CA3AF" w:sz="8"/>
              <w:right w:val="none" w:color="FFFFFF" w:sz="0"/>
            </w:tcBorders>
            <w:shd w:fill="F9FAFB" w:color="auto" w:val="clear"/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374151"/>
                <w:spacing w:val="12"/>
                <w:sz w:val="18"/>
                <w:szCs w:val="18"/>
              </w:rPr>
              <w:t xml:space="preserve">Type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single" w:color="9CA3AF" w:sz="8"/>
              <w:right w:val="none" w:color="FFFFFF" w:sz="0"/>
            </w:tcBorders>
            <w:shd w:fill="F9FAFB" w:color="auto" w:val="clear"/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374151"/>
                <w:spacing w:val="12"/>
                <w:sz w:val="18"/>
                <w:szCs w:val="18"/>
              </w:rPr>
              <w:t xml:space="preserve">File</w:t>
            </w:r>
          </w:p>
        </w:tc>
      </w:tr>
      <w:tr>
        <w:tc>
          <w:tcPr>
            <w:tcW w:type="dxa" w:w="48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1"/>
                <w:szCs w:val="21"/>
              </w:rPr>
              <w:t xml:space="preserve">StreetBond Brochure</w:t>
            </w:r>
          </w:p>
        </w:tc>
        <w:tc>
          <w:tcPr>
            <w:tcW w:type="dxa" w:w="20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Brochure</w:t>
            </w:r>
          </w:p>
        </w:tc>
        <w:tc>
          <w:tcPr>
            <w:tcW w:type="dxa" w:w="32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i/>
                <w:iCs/>
                <w:color w:val="6B7280"/>
                <w:sz w:val="16"/>
                <w:szCs w:val="16"/>
              </w:rPr>
              <w:t xml:space="preserve">StreetBond-Brochure.pdf</w:t>
            </w:r>
          </w:p>
        </w:tc>
      </w:tr>
      <w:tr>
        <w:tc>
          <w:tcPr>
            <w:tcW w:type="dxa" w:w="48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1"/>
                <w:szCs w:val="21"/>
              </w:rPr>
              <w:t xml:space="preserve">StreetBond Colour Guide (73+ colours)</w:t>
            </w:r>
          </w:p>
        </w:tc>
        <w:tc>
          <w:tcPr>
            <w:tcW w:type="dxa" w:w="20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Colour Guide</w:t>
            </w:r>
          </w:p>
        </w:tc>
        <w:tc>
          <w:tcPr>
            <w:tcW w:type="dxa" w:w="32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i/>
                <w:iCs/>
                <w:color w:val="6B7280"/>
                <w:sz w:val="16"/>
                <w:szCs w:val="16"/>
              </w:rPr>
              <w:t xml:space="preserve">StreetBond-Colour-Guide.pdf</w:t>
            </w:r>
          </w:p>
        </w:tc>
      </w:tr>
      <w:tr>
        <w:tc>
          <w:tcPr>
            <w:tcW w:type="dxa" w:w="48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1"/>
                <w:szCs w:val="21"/>
              </w:rPr>
              <w:t xml:space="preserve">Substrate Preparation Guide</w:t>
            </w:r>
          </w:p>
        </w:tc>
        <w:tc>
          <w:tcPr>
            <w:tcW w:type="dxa" w:w="20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Substrate</w:t>
            </w:r>
          </w:p>
        </w:tc>
        <w:tc>
          <w:tcPr>
            <w:tcW w:type="dxa" w:w="32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i/>
                <w:iCs/>
                <w:color w:val="6B7280"/>
                <w:sz w:val="16"/>
                <w:szCs w:val="16"/>
              </w:rPr>
              <w:t xml:space="preserve">StreetBond_Substrate_Guide.pdf</w:t>
            </w:r>
          </w:p>
        </w:tc>
      </w:tr>
      <w:tr>
        <w:tc>
          <w:tcPr>
            <w:tcW w:type="dxa" w:w="48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1"/>
                <w:szCs w:val="21"/>
              </w:rPr>
              <w:t xml:space="preserve">Colorant Technical Data Sheet</w:t>
            </w:r>
          </w:p>
        </w:tc>
        <w:tc>
          <w:tcPr>
            <w:tcW w:type="dxa" w:w="20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TDS</w:t>
            </w:r>
          </w:p>
        </w:tc>
        <w:tc>
          <w:tcPr>
            <w:tcW w:type="dxa" w:w="32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i/>
                <w:iCs/>
                <w:color w:val="6B7280"/>
                <w:sz w:val="16"/>
                <w:szCs w:val="16"/>
              </w:rPr>
              <w:t xml:space="preserve">StreetBond-Colorant.pdf</w:t>
            </w:r>
          </w:p>
        </w:tc>
      </w:tr>
      <w:tr>
        <w:tc>
          <w:tcPr>
            <w:tcW w:type="dxa" w:w="48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1"/>
                <w:szCs w:val="21"/>
              </w:rPr>
              <w:t xml:space="preserve">SB120 — Technical Data Sheet</w:t>
            </w:r>
          </w:p>
        </w:tc>
        <w:tc>
          <w:tcPr>
            <w:tcW w:type="dxa" w:w="20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TDS</w:t>
            </w:r>
          </w:p>
        </w:tc>
        <w:tc>
          <w:tcPr>
            <w:tcW w:type="dxa" w:w="32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i/>
                <w:iCs/>
                <w:color w:val="6B7280"/>
                <w:sz w:val="16"/>
                <w:szCs w:val="16"/>
              </w:rPr>
              <w:t xml:space="preserve">StreetBond-SB120-Data-Sheet-12.22-Rev.pdf</w:t>
            </w:r>
          </w:p>
        </w:tc>
      </w:tr>
      <w:tr>
        <w:tc>
          <w:tcPr>
            <w:tcW w:type="dxa" w:w="48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1"/>
                <w:szCs w:val="21"/>
              </w:rPr>
              <w:t xml:space="preserve">SB120 — Product Specification (asphalt)</w:t>
            </w:r>
          </w:p>
        </w:tc>
        <w:tc>
          <w:tcPr>
            <w:tcW w:type="dxa" w:w="20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32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i/>
                <w:iCs/>
                <w:color w:val="6B7280"/>
                <w:sz w:val="16"/>
                <w:szCs w:val="16"/>
              </w:rPr>
              <w:t xml:space="preserve">StreetBond_SB120_Specifications.pdf</w:t>
            </w:r>
          </w:p>
        </w:tc>
      </w:tr>
      <w:tr>
        <w:tc>
          <w:tcPr>
            <w:tcW w:type="dxa" w:w="48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1"/>
                <w:szCs w:val="21"/>
              </w:rPr>
              <w:t xml:space="preserve">SB120 — Product Specification (over concrete)</w:t>
            </w:r>
          </w:p>
        </w:tc>
        <w:tc>
          <w:tcPr>
            <w:tcW w:type="dxa" w:w="20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32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i/>
                <w:iCs/>
                <w:color w:val="6B7280"/>
                <w:sz w:val="16"/>
                <w:szCs w:val="16"/>
              </w:rPr>
              <w:t xml:space="preserve">StreetBond-SB120-Over-Concrete-Specification.pdf</w:t>
            </w:r>
          </w:p>
        </w:tc>
      </w:tr>
      <w:tr>
        <w:tc>
          <w:tcPr>
            <w:tcW w:type="dxa" w:w="48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1"/>
                <w:szCs w:val="21"/>
              </w:rPr>
              <w:t xml:space="preserve">SB150 — Technical Data Sheet</w:t>
            </w:r>
          </w:p>
        </w:tc>
        <w:tc>
          <w:tcPr>
            <w:tcW w:type="dxa" w:w="20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TDS</w:t>
            </w:r>
          </w:p>
        </w:tc>
        <w:tc>
          <w:tcPr>
            <w:tcW w:type="dxa" w:w="32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i/>
                <w:iCs/>
                <w:color w:val="6B7280"/>
                <w:sz w:val="16"/>
                <w:szCs w:val="16"/>
              </w:rPr>
              <w:t xml:space="preserve">StreetBond-SB150-Data-Sheet-12.22-Rev.pdf</w:t>
            </w:r>
          </w:p>
        </w:tc>
      </w:tr>
      <w:tr>
        <w:tc>
          <w:tcPr>
            <w:tcW w:type="dxa" w:w="48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1"/>
                <w:szCs w:val="21"/>
              </w:rPr>
              <w:t xml:space="preserve">SB150 AL — Technical Data Sheet (airless sprayer compatible)</w:t>
            </w:r>
          </w:p>
        </w:tc>
        <w:tc>
          <w:tcPr>
            <w:tcW w:type="dxa" w:w="20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TDS</w:t>
            </w:r>
          </w:p>
        </w:tc>
        <w:tc>
          <w:tcPr>
            <w:tcW w:type="dxa" w:w="32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i/>
                <w:iCs/>
                <w:color w:val="6B7280"/>
                <w:sz w:val="16"/>
                <w:szCs w:val="16"/>
              </w:rPr>
              <w:t xml:space="preserve">StreetBond-SB150AL-Data-Sheet-12.22-Rev.pdf</w:t>
            </w:r>
          </w:p>
        </w:tc>
      </w:tr>
      <w:tr>
        <w:tc>
          <w:tcPr>
            <w:tcW w:type="dxa" w:w="48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1"/>
                <w:szCs w:val="21"/>
              </w:rPr>
              <w:t xml:space="preserve">SB150 — Product Specification (asphalt)</w:t>
            </w:r>
          </w:p>
        </w:tc>
        <w:tc>
          <w:tcPr>
            <w:tcW w:type="dxa" w:w="20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32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i/>
                <w:iCs/>
                <w:color w:val="6B7280"/>
                <w:sz w:val="16"/>
                <w:szCs w:val="16"/>
              </w:rPr>
              <w:t xml:space="preserve">StreetBond_SB150_Specifications.pdf</w:t>
            </w:r>
          </w:p>
        </w:tc>
      </w:tr>
      <w:tr>
        <w:tc>
          <w:tcPr>
            <w:tcW w:type="dxa" w:w="48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1"/>
                <w:szCs w:val="21"/>
              </w:rPr>
              <w:t xml:space="preserve">SB150 — Product Specification (over concrete)</w:t>
            </w:r>
          </w:p>
        </w:tc>
        <w:tc>
          <w:tcPr>
            <w:tcW w:type="dxa" w:w="20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32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i/>
                <w:iCs/>
                <w:color w:val="6B7280"/>
                <w:sz w:val="16"/>
                <w:szCs w:val="16"/>
              </w:rPr>
              <w:t xml:space="preserve">StreetBond-SB150-Over-Concrete-Specification.pdf</w:t>
            </w:r>
          </w:p>
        </w:tc>
      </w:tr>
      <w:tr>
        <w:tc>
          <w:tcPr>
            <w:tcW w:type="dxa" w:w="48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1"/>
                <w:szCs w:val="21"/>
              </w:rPr>
              <w:t xml:space="preserve">Pro 220 (MMA) — Technical Data Sheet</w:t>
            </w:r>
          </w:p>
        </w:tc>
        <w:tc>
          <w:tcPr>
            <w:tcW w:type="dxa" w:w="20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TDS</w:t>
            </w:r>
          </w:p>
        </w:tc>
        <w:tc>
          <w:tcPr>
            <w:tcW w:type="dxa" w:w="32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i/>
                <w:iCs/>
                <w:color w:val="6B7280"/>
                <w:sz w:val="16"/>
                <w:szCs w:val="16"/>
              </w:rPr>
              <w:t xml:space="preserve">StreetBond-Pro-220-TDS.pdf</w:t>
            </w:r>
          </w:p>
        </w:tc>
      </w:tr>
      <w:tr>
        <w:tc>
          <w:tcPr>
            <w:tcW w:type="dxa" w:w="48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1"/>
                <w:szCs w:val="21"/>
              </w:rPr>
              <w:t xml:space="preserve">Pro 220 + 250 — Installation Guide</w:t>
            </w:r>
          </w:p>
        </w:tc>
        <w:tc>
          <w:tcPr>
            <w:tcW w:type="dxa" w:w="20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Installation</w:t>
            </w:r>
          </w:p>
        </w:tc>
        <w:tc>
          <w:tcPr>
            <w:tcW w:type="dxa" w:w="32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i/>
                <w:iCs/>
                <w:color w:val="6B7280"/>
                <w:sz w:val="16"/>
                <w:szCs w:val="16"/>
              </w:rPr>
              <w:t xml:space="preserve">StreetBond-Pro-220-and-250-Intallation.pdf</w:t>
            </w:r>
          </w:p>
        </w:tc>
      </w:tr>
      <w:tr>
        <w:tc>
          <w:tcPr>
            <w:tcW w:type="dxa" w:w="48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1"/>
                <w:szCs w:val="21"/>
              </w:rPr>
              <w:t xml:space="preserve">Pro 220 + 250 — Brochure</w:t>
            </w:r>
          </w:p>
        </w:tc>
        <w:tc>
          <w:tcPr>
            <w:tcW w:type="dxa" w:w="20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Brochure</w:t>
            </w:r>
          </w:p>
        </w:tc>
        <w:tc>
          <w:tcPr>
            <w:tcW w:type="dxa" w:w="32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i/>
                <w:iCs/>
                <w:color w:val="6B7280"/>
                <w:sz w:val="16"/>
                <w:szCs w:val="16"/>
              </w:rPr>
              <w:t xml:space="preserve">StreetBond-Pro-220-Pro-250-Brochure-1.pdf</w:t>
            </w:r>
          </w:p>
        </w:tc>
      </w:tr>
      <w:tr>
        <w:tc>
          <w:tcPr>
            <w:tcW w:type="dxa" w:w="48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1"/>
                <w:szCs w:val="21"/>
              </w:rPr>
              <w:t xml:space="preserve">Pro 250 (PMMA) — Technical Data Sheet</w:t>
            </w:r>
          </w:p>
        </w:tc>
        <w:tc>
          <w:tcPr>
            <w:tcW w:type="dxa" w:w="20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TDS</w:t>
            </w:r>
          </w:p>
        </w:tc>
        <w:tc>
          <w:tcPr>
            <w:tcW w:type="dxa" w:w="32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i/>
                <w:iCs/>
                <w:color w:val="6B7280"/>
                <w:sz w:val="16"/>
                <w:szCs w:val="16"/>
              </w:rPr>
              <w:t xml:space="preserve">Data-Sheet-StreetBond-Pro-250.pdf</w:t>
            </w:r>
          </w:p>
        </w:tc>
      </w:tr>
      <w:tr>
        <w:tc>
          <w:tcPr>
            <w:tcW w:type="dxa" w:w="48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1"/>
                <w:szCs w:val="21"/>
              </w:rPr>
              <w:t xml:space="preserve">Concrete Primer QS — Technical Data Sheet (solvent-based)</w:t>
            </w:r>
          </w:p>
        </w:tc>
        <w:tc>
          <w:tcPr>
            <w:tcW w:type="dxa" w:w="20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TDS</w:t>
            </w:r>
          </w:p>
        </w:tc>
        <w:tc>
          <w:tcPr>
            <w:tcW w:type="dxa" w:w="32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i/>
                <w:iCs/>
                <w:color w:val="6B7280"/>
                <w:sz w:val="16"/>
                <w:szCs w:val="16"/>
              </w:rPr>
              <w:t xml:space="preserve">StreetBond-QS-Concrete-TDS.pdf</w:t>
            </w:r>
          </w:p>
        </w:tc>
      </w:tr>
      <w:t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1"/>
                <w:szCs w:val="21"/>
              </w:rPr>
              <w:t xml:space="preserve">Concrete Primer WB — Technical Data Sheet (waterborne)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TDS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i/>
                <w:iCs/>
                <w:color w:val="6B7280"/>
                <w:sz w:val="16"/>
                <w:szCs w:val="16"/>
              </w:rPr>
              <w:t xml:space="preserve">StreetBond-Concrete-Primer-WB-TDS.pdf</w:t>
            </w:r>
          </w:p>
        </w:tc>
      </w:tr>
    </w:tbl>
    <w:p>
      <w:pPr>
        <w:pStyle w:val="Heading2"/>
        <w:spacing w:after="120" w:before="320"/>
      </w:pPr>
      <w:r>
        <w:rPr>
          <w:b/>
          <w:bCs/>
          <w:color w:val="0A0A0A"/>
          <w:sz w:val="26"/>
          <w:szCs w:val="26"/>
        </w:rPr>
        <w:t xml:space="preserve">Source notes &amp; [VERIFY] flags</w:t>
      </w:r>
    </w:p>
    <w:p>
      <w:pPr>
        <w:spacing w:after="60" w:before="0"/>
      </w:pPr>
      <w:r>
        <w:rPr>
          <w:b/>
          <w:bCs/>
          <w:color w:val="F97316"/>
          <w:spacing w:val="24"/>
          <w:sz w:val="16"/>
          <w:szCs w:val="16"/>
        </w:rPr>
        <w:t xml:space="preserve">SOURCES USED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StreetBond Brochure, Colour Guide, Substrate Guide (.pdf)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StreetBond SB120 / SB150 / SB150 AL Technical Data Sheets (.pdf)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StreetBond Pro 220 and Pro 250 Technical Data Sheets (.pdf)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StreetBond Concrete Primer QS + WB Technical Data Sheets (.pdf)</w:t>
      </w:r>
    </w:p>
    <w:p>
      <w:pPr>
        <w:spacing w:after="0" w:before="120"/>
      </w:pPr>
    </w:p>
    <w:p>
      <w:pPr>
        <w:spacing w:after="60" w:before="0"/>
      </w:pPr>
      <w:r>
        <w:rPr>
          <w:b/>
          <w:bCs/>
          <w:color w:val="F97316"/>
          <w:spacing w:val="24"/>
          <w:sz w:val="16"/>
          <w:szCs w:val="16"/>
        </w:rPr>
        <w:t xml:space="preserve">ITEMS REQUIRING DOUG'S CONFIRMATION</w:t>
      </w:r>
    </w:p>
    <w:tbl>
      <w:tblPr>
        <w:tblW w:type="dxa" w:w="10080"/>
        <w:tblBorders>
          <w:top w:val="single" w:color="F59E0B" w:sz="8"/>
          <w:left w:val="single" w:color="F59E0B" w:sz="8"/>
          <w:bottom w:val="single" w:color="F59E0B" w:sz="8"/>
          <w:right w:val="single" w:color="F59E0B" w:sz="8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FEF3C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[VERIFY] </w:t>
            </w:r>
            <w:r>
              <w:rPr>
                <w:color w:val="78350F"/>
                <w:sz w:val="20"/>
                <w:szCs w:val="20"/>
              </w:rPr>
              <w:t xml:space="preserve">Manufacturer attribution: confirm whether HUBSS website should attribute StreetBond to GAF, to 'StreetBond by GAF,' or simply present it as a product family without manufacturer attribution. Current site says nothing about GAF.</w:t>
            </w:r>
          </w:p>
        </w:tc>
      </w:tr>
    </w:tbl>
    <w:p>
      <w:pPr>
        <w:spacing w:after="0" w:before="60"/>
      </w:pPr>
    </w:p>
    <w:tbl>
      <w:tblPr>
        <w:tblW w:type="dxa" w:w="10080"/>
        <w:tblBorders>
          <w:top w:val="single" w:color="F59E0B" w:sz="8"/>
          <w:left w:val="single" w:color="F59E0B" w:sz="8"/>
          <w:bottom w:val="single" w:color="F59E0B" w:sz="8"/>
          <w:right w:val="single" w:color="F59E0B" w:sz="8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FEF3C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[VERIFY] </w:t>
            </w:r>
            <w:r>
              <w:rPr>
                <w:color w:val="78350F"/>
                <w:sz w:val="20"/>
                <w:szCs w:val="20"/>
              </w:rPr>
              <w:t xml:space="preserve">"Pantone matching" claim: the StreetBond brochure mentions custom colours and 73+ standard colours; it does not explicitly state "full Pantone matching." Pantone PMS codes ARE published on TrafficPatterns/TPXD colour guides, but not on StreetBond. Confirm with HUBSS whether the Pantone-match claim is supportable for StreetBond specifically.</w:t>
            </w:r>
          </w:p>
        </w:tc>
      </w:tr>
    </w:tbl>
    <w:p>
      <w:pPr>
        <w:spacing w:after="0" w:before="60"/>
      </w:pPr>
    </w:p>
    <w:tbl>
      <w:tblPr>
        <w:tblW w:type="dxa" w:w="10080"/>
        <w:tblBorders>
          <w:top w:val="single" w:color="F59E0B" w:sz="8"/>
          <w:left w:val="single" w:color="F59E0B" w:sz="8"/>
          <w:bottom w:val="single" w:color="F59E0B" w:sz="8"/>
          <w:right w:val="single" w:color="F59E0B" w:sz="8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FEF3C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[VERIFY] </w:t>
            </w:r>
            <w:r>
              <w:rPr>
                <w:color w:val="78350F"/>
                <w:sz w:val="20"/>
                <w:szCs w:val="20"/>
              </w:rPr>
              <w:t xml:space="preserve">Site "30–50 sq ft per gallon" — defensible at the 3–4 layer level but only meaningful with a layer-count qualifier. Recommend wording: "Coverage 36–49 ft²/gal at 3–4 layer build (pedestrian / vehicular)."</w:t>
            </w:r>
          </w:p>
        </w:tc>
      </w:tr>
    </w:tbl>
    <w:p>
      <w:pPr>
        <w:spacing w:after="0" w:before="60"/>
      </w:pPr>
    </w:p>
    <w:tbl>
      <w:tblPr>
        <w:tblW w:type="dxa" w:w="10080"/>
        <w:tblBorders>
          <w:top w:val="single" w:color="F59E0B" w:sz="8"/>
          <w:left w:val="single" w:color="F59E0B" w:sz="8"/>
          <w:bottom w:val="single" w:color="F59E0B" w:sz="8"/>
          <w:right w:val="single" w:color="F59E0B" w:sz="8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FEF3C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[VERIFY] </w:t>
            </w:r>
            <w:r>
              <w:rPr>
                <w:color w:val="78350F"/>
                <w:sz w:val="20"/>
                <w:szCs w:val="20"/>
              </w:rPr>
              <w:t xml:space="preserve">Site "2–4 hours dry time" — accurate as TOUCH-DRY, but cure-to-traffic is 6–24 hours. Recommend separating: touch-dry 1–4 hr, cure-to-traffic 6–24 hr.</w:t>
            </w:r>
          </w:p>
        </w:tc>
      </w:tr>
    </w:tbl>
    <w:p>
      <w:pPr>
        <w:spacing w:after="0" w:before="60"/>
      </w:pPr>
    </w:p>
    <w:tbl>
      <w:tblPr>
        <w:tblW w:type="dxa" w:w="10080"/>
        <w:tblBorders>
          <w:top w:val="single" w:color="F59E0B" w:sz="8"/>
          <w:left w:val="single" w:color="F59E0B" w:sz="8"/>
          <w:bottom w:val="single" w:color="F59E0B" w:sz="8"/>
          <w:right w:val="single" w:color="F59E0B" w:sz="8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FEF3C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[VERIFY] </w:t>
            </w:r>
            <w:r>
              <w:rPr>
                <w:color w:val="78350F"/>
                <w:sz w:val="20"/>
                <w:szCs w:val="20"/>
              </w:rPr>
              <w:t xml:space="preserve">Manufacturer line attribution: legacy PDFs still carry 'Quest Construction Products' branding while newer TDSs read 'StreetBond by GAF.' Confirm with the supplier which branding should appear on the HUBSS website.</w:t>
            </w:r>
          </w:p>
        </w:tc>
      </w:tr>
    </w:tbl>
    <w:p>
      <w:pPr>
        <w:spacing w:after="0" w:before="60"/>
      </w:pPr>
    </w:p>
    <w:p>
      <w:pPr>
        <w:spacing w:after="0" w:before="120"/>
      </w:pPr>
    </w:p>
    <w:p>
      <w:pPr>
        <w:spacing w:after="60" w:before="0"/>
      </w:pPr>
      <w:r>
        <w:rPr>
          <w:b/>
          <w:bCs/>
          <w:color w:val="F97316"/>
          <w:spacing w:val="24"/>
          <w:sz w:val="16"/>
          <w:szCs w:val="16"/>
        </w:rPr>
        <w:t xml:space="preserve">CURRENT SITE COPY FLAGGED AS INACCURATE / EMBELLISHED</w:t>
      </w:r>
    </w:p>
    <w:tbl>
      <w:tblPr>
        <w:tblW w:type="dxa" w:w="10080"/>
        <w:tblBorders>
          <w:top w:val="single" w:color="F59E0B" w:sz="8"/>
          <w:left w:val="single" w:color="F59E0B" w:sz="8"/>
          <w:bottom w:val="single" w:color="F59E0B" w:sz="8"/>
          <w:right w:val="single" w:color="F59E0B" w:sz="8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FEF3C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[VERIFY] </w:t>
            </w:r>
            <w:r>
              <w:rPr>
                <w:color w:val="78350F"/>
                <w:sz w:val="20"/>
                <w:szCs w:val="20"/>
              </w:rPr>
              <w:t xml:space="preserve">Current site is silent on manufacturer attribution. StreetBond is a GAF/StreetBond product, not an Ennis-Flint/PPG product. This matters because GAF and PPG are different companies — and Doug is likely to be asked about it by spec writers.</w:t>
            </w:r>
          </w:p>
        </w:tc>
      </w:tr>
    </w:tbl>
    <w:p>
      <w:pPr>
        <w:spacing w:after="0" w:before="60"/>
      </w:pPr>
    </w:p>
    <w:tbl>
      <w:tblPr>
        <w:tblW w:type="dxa" w:w="10080"/>
        <w:tblBorders>
          <w:top w:val="single" w:color="F59E0B" w:sz="8"/>
          <w:left w:val="single" w:color="F59E0B" w:sz="8"/>
          <w:bottom w:val="single" w:color="F59E0B" w:sz="8"/>
          <w:right w:val="single" w:color="F59E0B" w:sz="8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FEF3C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[VERIFY] </w:t>
            </w:r>
            <w:r>
              <w:rPr>
                <w:color w:val="78350F"/>
                <w:sz w:val="20"/>
                <w:szCs w:val="20"/>
              </w:rPr>
              <w:t xml:space="preserve">Current site lists 'Pantone matching' as a spec. Pantone reference values are published for TrafficPatterns colours, not for StreetBond — the StreetBond colour guide uses StreetBond's own colour codes. Update the spec to '73+ standard colours plus custom colour-matching capability' until Pantone is verified.</w:t>
            </w:r>
          </w:p>
        </w:tc>
      </w:tr>
    </w:tbl>
    <w:p>
      <w:pPr>
        <w:spacing w:after="0" w:before="60"/>
      </w:pPr>
    </w:p>
    <w:p>
      <w:pPr>
        <w:spacing w:after="80" w:before="320"/>
      </w:pPr>
    </w:p>
    <w:p>
      <w:pPr>
        <w:pBdr>
          <w:bottom w:val="single" w:color="D1D5DB" w:sz="6" w:space="1"/>
        </w:pBdr>
      </w:pPr>
    </w:p>
    <w:p>
      <w:pPr>
        <w:spacing w:after="0" w:before="200"/>
      </w:pPr>
      <w:r>
        <w:rPr>
          <w:b/>
          <w:bCs/>
          <w:color w:val="374151"/>
          <w:sz w:val="20"/>
          <w:szCs w:val="20"/>
        </w:rPr>
        <w:t xml:space="preserve">Approved for website use by: </w:t>
      </w:r>
      <w:r>
        <w:rPr>
          <w:color w:val="374151"/>
          <w:sz w:val="20"/>
          <w:szCs w:val="20"/>
        </w:rPr>
        <w:t xml:space="preserve">______________________________   Date: ______________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HUBSS — Product Source of Truth (DRAFT) · </w:t>
    </w: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80"/>
      <w:outlineLvl w:val="0"/>
    </w:pPr>
    <w:rPr>
      <w:rFonts w:ascii="Calibri" w:cs="Calibri" w:eastAsia="Calibri" w:hAnsi="Calibri"/>
      <w:b/>
      <w:bCs/>
      <w:color w:val="0A0A0A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Calibri" w:cs="Calibri" w:eastAsia="Calibri" w:hAnsi="Calibri"/>
      <w:b/>
      <w:bCs/>
      <w:color w:val="0A0A0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HUBSS Product Source of Truth</dc:title>
  <dc:creator>Based Agency for HUB Surface Systems</dc:creator>
  <dc:description>Draft source-of-truth product reference for client sign-off.</dc:description>
  <cp:lastModifiedBy>Un-named</cp:lastModifiedBy>
  <cp:revision>1</cp:revision>
  <dcterms:created xsi:type="dcterms:W3CDTF">2026-05-22T00:05:06.097Z</dcterms:created>
  <dcterms:modified xsi:type="dcterms:W3CDTF">2026-05-22T00:05:06.097Z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