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F97316"/>
          <w:spacing w:val="24"/>
          <w:sz w:val="16"/>
          <w:szCs w:val="16"/>
        </w:rPr>
        <w:t xml:space="preserve">SPECIALTY — INLAID PREFORMED THERMOPLASTIC</w:t>
      </w:r>
    </w:p>
    <w:p>
      <w:pPr>
        <w:pStyle w:val="Heading1"/>
        <w:spacing w:after="200" w:before="80"/>
      </w:pPr>
      <w:r>
        <w:rPr>
          <w:b/>
          <w:bCs/>
          <w:color w:val="0A0A0A"/>
          <w:sz w:val="44"/>
          <w:szCs w:val="44"/>
        </w:rPr>
        <w:t xml:space="preserve">DuraTherm</w:t>
      </w:r>
    </w:p>
    <w:p>
      <w:pPr>
        <w:spacing w:after="200" w:before="0"/>
      </w:pPr>
      <w:r>
        <w:rPr>
          <w:b/>
          <w:bCs/>
          <w:color w:val="374151"/>
          <w:sz w:val="22"/>
          <w:szCs w:val="22"/>
        </w:rPr>
        <w:t xml:space="preserve">Manufacturer: </w:t>
      </w:r>
      <w:r>
        <w:rPr>
          <w:color w:val="111827"/>
          <w:sz w:val="22"/>
          <w:szCs w:val="22"/>
        </w:rPr>
        <w:t xml:space="preserve">Ennis-Flint® by PPG (PPG Traffic Solutions). HUBSS is the Canadian distributor and certified-applicator network.</w:t>
      </w:r>
    </w:p>
    <w:p>
      <w:pPr>
        <w:pBdr>
          <w:bottom w:val="single" w:color="F97316" w:sz="12" w:space="1"/>
        </w:pBdr>
      </w:pPr>
    </w:p>
    <w:p>
      <w:pPr>
        <w:spacing w:after="0" w:before="80"/>
      </w:pPr>
    </w:p>
    <w:p>
      <w:pPr>
        <w:spacing w:after="60" w:before="0"/>
      </w:pPr>
      <w:r>
        <w:rPr>
          <w:b/>
          <w:bCs/>
          <w:color w:val="F97316"/>
          <w:spacing w:val="24"/>
          <w:sz w:val="16"/>
          <w:szCs w:val="16"/>
        </w:rPr>
        <w:t xml:space="preserve">PURPOSE OF THIS DOCUMENT</w:t>
      </w:r>
    </w:p>
    <w:p>
      <w:pPr>
        <w:spacing w:after="120" w:before="0" w:line="300"/>
      </w:pPr>
      <w:r>
        <w:rPr>
          <w:color w:val="111827"/>
          <w:sz w:val="22"/>
          <w:szCs w:val="22"/>
        </w:rPr>
        <w:t xml:space="preserve">Source-of-truth reference for HUBSS website product copy. Replaces existing website descriptions that have been flagged as inaccurate or embellished. Doug Bain to review, correct, and sign off — every claim on the website must be supported by a fact listed in this document.</w:t>
      </w:r>
    </w:p>
    <w:p>
      <w:pPr>
        <w:spacing w:after="0" w:before="100"/>
      </w:pPr>
    </w:p>
    <w:p>
      <w:pPr>
        <w:pBdr>
          <w:bottom w:val="single" w:color="D1D5DB" w:sz="6" w:space="1"/>
        </w:pBdr>
      </w:pPr>
    </w:p>
    <w:p>
      <w:pPr>
        <w:pStyle w:val="Heading2"/>
        <w:spacing w:after="120" w:before="320"/>
      </w:pPr>
      <w:r>
        <w:rPr>
          <w:b/>
          <w:bCs/>
          <w:color w:val="0A0A0A"/>
          <w:sz w:val="26"/>
          <w:szCs w:val="26"/>
        </w:rPr>
        <w:t xml:space="preserve">What it is</w:t>
      </w:r>
    </w:p>
    <w:p>
      <w:pPr>
        <w:spacing w:after="120" w:before="0" w:line="300"/>
      </w:pPr>
      <w:r>
        <w:rPr>
          <w:color w:val="111827"/>
          <w:sz w:val="22"/>
          <w:szCs w:val="22"/>
        </w:rPr>
        <w:t xml:space="preserve">An inlaid preformed thermoplastic pavement marking system. A specialized infrared heater softens the asphalt, a template imprints depressions into the heated surface, and precut DuraTherm sheets are placed into the depressions, then thermally bonded.</w:t>
      </w:r>
    </w:p>
    <w:p>
      <w:pPr>
        <w:spacing w:after="120" w:before="0" w:line="300"/>
      </w:pPr>
      <w:r>
        <w:rPr>
          <w:color w:val="111827"/>
          <w:sz w:val="22"/>
          <w:szCs w:val="22"/>
        </w:rPr>
        <w:t xml:space="preserve">The thermoplastic sits SLIGHTLY BELOW the surface level of the surrounding asphalt — 'snowplow friendly.' This sub-flush profile is what makes DuraTherm uniquely tolerant of snowplow blades and aggressive winter maintenance.</w:t>
      </w:r>
    </w:p>
    <w:p>
      <w:pPr>
        <w:pStyle w:val="Heading2"/>
        <w:spacing w:after="120" w:before="320"/>
      </w:pPr>
      <w:r>
        <w:rPr>
          <w:b/>
          <w:bCs/>
          <w:color w:val="0A0A0A"/>
          <w:sz w:val="26"/>
          <w:szCs w:val="26"/>
        </w:rPr>
        <w:t xml:space="preserve">Key features</w:t>
      </w:r>
    </w:p>
    <w:p>
      <w:pPr>
        <w:pStyle w:val="ListParagraph"/>
        <w:numPr>
          <w:ilvl w:val="0"/>
          <w:numId w:val="2"/>
        </w:numPr>
        <w:spacing w:after="80" w:before="0" w:line="280"/>
      </w:pPr>
      <w:r>
        <w:rPr>
          <w:color w:val="111827"/>
          <w:sz w:val="22"/>
          <w:szCs w:val="22"/>
        </w:rPr>
        <w:t xml:space="preserve">Sub-flush installation — thermoplastic sits slightly below the surrounding asphalt level for plow tolerance.</w:t>
      </w:r>
    </w:p>
    <w:p>
      <w:pPr>
        <w:pStyle w:val="ListParagraph"/>
        <w:numPr>
          <w:ilvl w:val="0"/>
          <w:numId w:val="2"/>
        </w:numPr>
        <w:spacing w:after="80" w:before="0" w:line="280"/>
      </w:pPr>
      <w:r>
        <w:rPr>
          <w:color w:val="111827"/>
          <w:sz w:val="22"/>
          <w:szCs w:val="22"/>
        </w:rPr>
        <w:t xml:space="preserve">Imprinted, not milled — the depression is formed by template + heat + vibratory plate compactor (700–900 lb), not by cold-milling a groove.</w:t>
      </w:r>
    </w:p>
    <w:p>
      <w:pPr>
        <w:pStyle w:val="ListParagraph"/>
        <w:numPr>
          <w:ilvl w:val="0"/>
          <w:numId w:val="2"/>
        </w:numPr>
        <w:spacing w:after="80" w:before="0" w:line="280"/>
      </w:pPr>
      <w:r>
        <w:rPr>
          <w:color w:val="111827"/>
          <w:sz w:val="22"/>
          <w:szCs w:val="22"/>
        </w:rPr>
        <w:t xml:space="preserve">90 mil minimum thickness — described in manufacturer marketing as "90-mil grout lines."</w:t>
      </w:r>
    </w:p>
    <w:p>
      <w:pPr>
        <w:pStyle w:val="ListParagraph"/>
        <w:numPr>
          <w:ilvl w:val="0"/>
          <w:numId w:val="2"/>
        </w:numPr>
        <w:spacing w:after="80" w:before="0" w:line="280"/>
      </w:pPr>
      <w:r>
        <w:rPr>
          <w:color w:val="111827"/>
          <w:sz w:val="22"/>
          <w:szCs w:val="22"/>
        </w:rPr>
        <w:t xml:space="preserve">Heat-fused to asphalt by Ennis-Flint StreetHeat® / Magnum / Flint2000EX equipment.</w:t>
      </w:r>
    </w:p>
    <w:p>
      <w:pPr>
        <w:pStyle w:val="ListParagraph"/>
        <w:numPr>
          <w:ilvl w:val="0"/>
          <w:numId w:val="2"/>
        </w:numPr>
        <w:spacing w:after="80" w:before="0" w:line="280"/>
      </w:pPr>
      <w:r>
        <w:rPr>
          <w:color w:val="111827"/>
          <w:sz w:val="22"/>
          <w:szCs w:val="22"/>
        </w:rPr>
        <w:t xml:space="preserve">Anti-skid: minimum 6 Mohs intermix, minimum 8 Mohs surface-applied.</w:t>
      </w:r>
    </w:p>
    <w:p>
      <w:pPr>
        <w:pStyle w:val="ListParagraph"/>
        <w:numPr>
          <w:ilvl w:val="0"/>
          <w:numId w:val="2"/>
        </w:numPr>
        <w:spacing w:after="80" w:before="0" w:line="280"/>
      </w:pPr>
      <w:r>
        <w:rPr>
          <w:color w:val="111827"/>
          <w:sz w:val="22"/>
          <w:szCs w:val="22"/>
        </w:rPr>
        <w:t xml:space="preserve">Manufactured without glass beads — DuraTherm is non-reflective.</w:t>
      </w:r>
    </w:p>
    <w:p>
      <w:pPr>
        <w:pStyle w:val="ListParagraph"/>
        <w:numPr>
          <w:ilvl w:val="0"/>
          <w:numId w:val="2"/>
        </w:numPr>
        <w:spacing w:after="80" w:before="0" w:line="280"/>
      </w:pPr>
      <w:r>
        <w:rPr>
          <w:color w:val="111827"/>
          <w:sz w:val="22"/>
          <w:szCs w:val="22"/>
        </w:rPr>
        <w:t xml:space="preserve">ISO 9001 certified manufacturing; ADA-compliant pedestrian + wheelchair-friendly surface.</w:t>
      </w:r>
    </w:p>
    <w:p>
      <w:pPr>
        <w:pStyle w:val="ListParagraph"/>
        <w:numPr>
          <w:ilvl w:val="0"/>
          <w:numId w:val="2"/>
        </w:numPr>
        <w:spacing w:after="80" w:before="0" w:line="280"/>
      </w:pPr>
      <w:r>
        <w:rPr>
          <w:color w:val="111827"/>
          <w:sz w:val="22"/>
          <w:szCs w:val="22"/>
        </w:rPr>
        <w:t xml:space="preserve">Must be installed by an Ennis-Flint TrafficScapes Certified Applicator. HUBSS is the Canadian certifying body.</w:t>
      </w:r>
    </w:p>
    <w:p>
      <w:pPr>
        <w:pStyle w:val="Heading2"/>
        <w:spacing w:after="120" w:before="320"/>
      </w:pPr>
      <w:r>
        <w:rPr>
          <w:b/>
          <w:bCs/>
          <w:color w:val="0A0A0A"/>
          <w:sz w:val="26"/>
          <w:szCs w:val="26"/>
        </w:rPr>
        <w:t xml:space="preserve">Technical specifications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200"/>
        <w:gridCol w:w="6880"/>
      </w:tblGrid>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Material</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Preformed thermoplastic — ester-modified rosin, aggregates, pigments, binders, anti-skid elements</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Minimum thickness</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90 mil (2.3 mm)</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Sheet sizes</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Primary pattern sheets 24 in × 24 in (0.6 × 0.6 m). Borders 8 in or 12 in wide × 24 in long</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Template sizes</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150-mil thickness; standard crosswalk widths 6 ft to 20 ft in 2-ft increments</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Anti-skid (intermixed)</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Min 30% intermix, min 6 Mohs hardness</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Anti-skid (surface)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Min 8 Mohs hardness</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Skid resistance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Minimum 60 BPN per ASTM E303</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Static friction</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Minimum 0.6 (wet &amp; dry) per ASTM C1028 / ASTM D2047</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Minimum install temperature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40°F (5°C) ambient and road — DO NOT apply below 5°C</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Substrate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ASPHALT ONLY — the specification explicitly excludes Portland cement concrete</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Installation</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Template + 700–900 lb vibratory plate compactor + Ennis-Flint infrared heating equipment</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Storage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12 months indoors</w:t>
            </w:r>
          </w:p>
        </w:tc>
      </w:tr>
      <w:tr>
        <w:tc>
          <w:tcPr>
            <w:tcW w:type="dxa" w:w="3200"/>
            <w:tcBorders>
              <w:top w:val="none" w:color="FFFFFF" w:sz="0"/>
              <w:left w:val="none" w:color="FFFFFF" w:sz="0"/>
              <w:bottom w:val="none" w:color="FFFFFF" w:sz="0"/>
              <w:right w:val="none" w:color="FFFFFF" w:sz="0"/>
            </w:tcBorders>
            <w:tcMar>
              <w:top w:type="dxa" w:w="120"/>
              <w:left w:type="dxa" w:w="0"/>
              <w:bottom w:type="dxa" w:w="120"/>
              <w:right w:type="dxa" w:w="120"/>
            </w:tcMar>
          </w:tcPr>
          <w:p>
            <w:r>
              <w:rPr>
                <w:b/>
                <w:bCs/>
                <w:color w:val="374151"/>
                <w:sz w:val="20"/>
                <w:szCs w:val="20"/>
              </w:rPr>
              <w:t xml:space="preserve">Carton</w:t>
            </w:r>
          </w:p>
        </w:tc>
        <w:tc>
          <w:tcPr>
            <w:tcW w:type="dxa" w:w="6880"/>
            <w:tcBorders>
              <w:top w:val="none" w:color="FFFFFF" w:sz="0"/>
              <w:left w:val="none" w:color="FFFFFF" w:sz="0"/>
              <w:bottom w:val="none" w:color="FFFFFF" w:sz="0"/>
              <w:right w:val="none" w:color="FFFFFF" w:sz="0"/>
            </w:tcBorders>
            <w:tcMar>
              <w:top w:type="dxa" w:w="120"/>
              <w:left w:type="dxa" w:w="120"/>
              <w:bottom w:type="dxa" w:w="120"/>
              <w:right w:type="dxa" w:w="0"/>
            </w:tcMar>
          </w:tcPr>
          <w:p>
            <w:r>
              <w:rPr>
                <w:color w:val="111827"/>
                <w:sz w:val="22"/>
                <w:szCs w:val="22"/>
              </w:rPr>
              <w:t xml:space="preserve">Max 25 in × 25 in; max 50 lb (23 kg)</w:t>
            </w:r>
          </w:p>
        </w:tc>
      </w:tr>
    </w:tbl>
    <w:p>
      <w:pPr>
        <w:pStyle w:val="Heading2"/>
        <w:spacing w:after="120" w:before="320"/>
      </w:pPr>
      <w:r>
        <w:rPr>
          <w:b/>
          <w:bCs/>
          <w:color w:val="0A0A0A"/>
          <w:sz w:val="26"/>
          <w:szCs w:val="26"/>
        </w:rPr>
        <w:t xml:space="preserve">Colours / palette</w:t>
      </w:r>
    </w:p>
    <w:p>
      <w:pPr>
        <w:spacing w:after="120" w:before="0" w:line="300"/>
      </w:pPr>
      <w:r>
        <w:rPr>
          <w:color w:val="111827"/>
          <w:sz w:val="22"/>
          <w:szCs w:val="22"/>
        </w:rPr>
        <w:t xml:space="preserve">Standard: White, Sand, Tan, Cinnamon, Salmon, Burnt Orange, Sienna, Khaki, Sonoma Sand, Chestnut, Santa Fe Clay, Heritage Red, Colonial Brick, Brick Red, Red, Yellow, School Green, Sky Blue. Premium: Light Grey, Light Green, Green, Olive, SYG, Lemon Yellow, Orange, Red, Kelly Green, Teal, Light Blue, Blue, Purple, Pink. Patterns: Running Bond, Running Bond R90, Herringbone, Herringbone R90, Plain Weave, Basket Weave, Diagonal Tile (large + small), Stacked Tile (large + small), Honeycomb, Courtyard, Ashlar, Wheels w/ Brick Frame, Wheels w/ Tile Frame, Scalloped, Wheels.</w:t>
      </w:r>
    </w:p>
    <w:p>
      <w:pPr>
        <w:pStyle w:val="Heading2"/>
        <w:spacing w:after="120" w:before="320"/>
      </w:pPr>
      <w:r>
        <w:rPr>
          <w:b/>
          <w:bCs/>
          <w:color w:val="0A0A0A"/>
          <w:sz w:val="26"/>
          <w:szCs w:val="26"/>
        </w:rPr>
        <w:t xml:space="preserve">Applications &amp; ideal use-cases</w:t>
      </w:r>
    </w:p>
    <w:p>
      <w:pPr>
        <w:pStyle w:val="ListParagraph"/>
        <w:numPr>
          <w:ilvl w:val="0"/>
          <w:numId w:val="2"/>
        </w:numPr>
        <w:spacing w:after="80" w:before="0" w:line="280"/>
      </w:pPr>
      <w:r>
        <w:rPr>
          <w:color w:val="111827"/>
          <w:sz w:val="22"/>
          <w:szCs w:val="22"/>
        </w:rPr>
        <w:t xml:space="preserve">Public roadway crosswalks (typically inlaid between standard white crosswalk lines)</w:t>
      </w:r>
    </w:p>
    <w:p>
      <w:pPr>
        <w:pStyle w:val="ListParagraph"/>
        <w:numPr>
          <w:ilvl w:val="0"/>
          <w:numId w:val="2"/>
        </w:numPr>
        <w:spacing w:after="80" w:before="0" w:line="280"/>
      </w:pPr>
      <w:r>
        <w:rPr>
          <w:color w:val="111827"/>
          <w:sz w:val="22"/>
          <w:szCs w:val="22"/>
        </w:rPr>
        <w:t xml:space="preserve">Streetscape elements and traffic-calming patterns</w:t>
      </w:r>
    </w:p>
    <w:p>
      <w:pPr>
        <w:pStyle w:val="ListParagraph"/>
        <w:numPr>
          <w:ilvl w:val="0"/>
          <w:numId w:val="2"/>
        </w:numPr>
        <w:spacing w:after="80" w:before="0" w:line="280"/>
      </w:pPr>
      <w:r>
        <w:rPr>
          <w:color w:val="111827"/>
          <w:sz w:val="22"/>
          <w:szCs w:val="22"/>
        </w:rPr>
        <w:t xml:space="preserve">Heritage districts and community-branding inlays</w:t>
      </w:r>
    </w:p>
    <w:p>
      <w:pPr>
        <w:pStyle w:val="ListParagraph"/>
        <w:numPr>
          <w:ilvl w:val="0"/>
          <w:numId w:val="2"/>
        </w:numPr>
        <w:spacing w:after="80" w:before="0" w:line="280"/>
      </w:pPr>
      <w:r>
        <w:rPr>
          <w:color w:val="111827"/>
          <w:sz w:val="22"/>
          <w:szCs w:val="22"/>
        </w:rPr>
        <w:t xml:space="preserve">Residential and commercial pedestrian/vehicular areas</w:t>
      </w:r>
    </w:p>
    <w:p>
      <w:pPr>
        <w:pStyle w:val="ListParagraph"/>
        <w:numPr>
          <w:ilvl w:val="0"/>
          <w:numId w:val="2"/>
        </w:numPr>
        <w:spacing w:after="80" w:before="0" w:line="280"/>
      </w:pPr>
      <w:r>
        <w:rPr>
          <w:color w:val="111827"/>
          <w:sz w:val="22"/>
          <w:szCs w:val="22"/>
        </w:rPr>
        <w:t xml:space="preserve">Pedestrian plazas with vehicular access through the area</w:t>
      </w:r>
    </w:p>
    <w:p>
      <w:pPr>
        <w:pStyle w:val="ListParagraph"/>
        <w:numPr>
          <w:ilvl w:val="0"/>
          <w:numId w:val="2"/>
        </w:numPr>
        <w:spacing w:after="80" w:before="0" w:line="280"/>
      </w:pPr>
      <w:r>
        <w:rPr>
          <w:color w:val="111827"/>
          <w:sz w:val="22"/>
          <w:szCs w:val="22"/>
        </w:rPr>
        <w:t xml:space="preserve">Anywhere snowplow tolerance is the deciding factor between decorative pavement options</w:t>
      </w:r>
    </w:p>
    <w:p>
      <w:pPr>
        <w:pStyle w:val="Heading2"/>
        <w:spacing w:after="120" w:before="320"/>
      </w:pPr>
      <w:r>
        <w:rPr>
          <w:b/>
          <w:bCs/>
          <w:color w:val="0A0A0A"/>
          <w:sz w:val="26"/>
          <w:szCs w:val="26"/>
        </w:rPr>
        <w:t xml:space="preserve">Document library</w:t>
      </w:r>
    </w:p>
    <w:p>
      <w:pPr>
        <w:spacing w:after="120" w:before="0" w:line="300"/>
      </w:pPr>
      <w:r>
        <w:rPr>
          <w:color w:val="111827"/>
          <w:sz w:val="22"/>
          <w:szCs w:val="22"/>
        </w:rPr>
        <w:t xml:space="preserve">Current document set for this product. Proposed clean titles below — fixes duplicate / generic naming on the current site.</w:t>
      </w:r>
    </w:p>
    <w:p>
      <w:pPr>
        <w:spacing w:after="0" w:before="8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4800"/>
        <w:gridCol w:w="2000"/>
        <w:gridCol w:w="3280"/>
      </w:tblGrid>
      <w:tr>
        <w:trPr>
          <w:tblHeader/>
        </w:trPr>
        <w:tc>
          <w:tcPr>
            <w:tcW w:type="dxa" w:w="4800"/>
            <w:tcBorders>
              <w:top w:val="none" w:color="FFFFFF" w:sz="0"/>
              <w:left w:val="none" w:color="FFFFFF" w:sz="0"/>
              <w:bottom w:val="single" w:color="9CA3AF" w:sz="8"/>
              <w:right w:val="none" w:color="FFFFFF" w:sz="0"/>
            </w:tcBorders>
            <w:shd w:fill="F9FAFB" w:color="auto" w:val="clear"/>
            <w:tcMar>
              <w:top w:type="dxa" w:w="100"/>
              <w:left w:type="dxa" w:w="0"/>
              <w:bottom w:type="dxa" w:w="100"/>
              <w:right w:type="dxa" w:w="120"/>
            </w:tcMar>
          </w:tcPr>
          <w:p>
            <w:r>
              <w:rPr>
                <w:b/>
                <w:bCs/>
                <w:color w:val="374151"/>
                <w:spacing w:val="12"/>
                <w:sz w:val="18"/>
                <w:szCs w:val="18"/>
              </w:rPr>
              <w:t xml:space="preserve">Document title</w:t>
            </w:r>
          </w:p>
        </w:tc>
        <w:tc>
          <w:tcPr>
            <w:tcW w:type="dxa" w:w="2000"/>
            <w:tcBorders>
              <w:top w:val="none" w:color="FFFFFF" w:sz="0"/>
              <w:left w:val="none" w:color="FFFFFF" w:sz="0"/>
              <w:bottom w:val="single" w:color="9CA3AF" w:sz="8"/>
              <w:right w:val="none" w:color="FFFFFF" w:sz="0"/>
            </w:tcBorders>
            <w:shd w:fill="F9FAFB" w:color="auto" w:val="clear"/>
            <w:tcMar>
              <w:top w:type="dxa" w:w="100"/>
              <w:left w:type="dxa" w:w="0"/>
              <w:bottom w:type="dxa" w:w="100"/>
              <w:right w:type="dxa" w:w="120"/>
            </w:tcMar>
          </w:tcPr>
          <w:p>
            <w:r>
              <w:rPr>
                <w:b/>
                <w:bCs/>
                <w:color w:val="374151"/>
                <w:spacing w:val="12"/>
                <w:sz w:val="18"/>
                <w:szCs w:val="18"/>
              </w:rPr>
              <w:t xml:space="preserve">Type</w:t>
            </w:r>
          </w:p>
        </w:tc>
        <w:tc>
          <w:tcPr>
            <w:tcW w:type="dxa" w:w="3280"/>
            <w:tcBorders>
              <w:top w:val="none" w:color="FFFFFF" w:sz="0"/>
              <w:left w:val="none" w:color="FFFFFF" w:sz="0"/>
              <w:bottom w:val="single" w:color="9CA3AF" w:sz="8"/>
              <w:right w:val="none" w:color="FFFFFF" w:sz="0"/>
            </w:tcBorders>
            <w:shd w:fill="F9FAFB" w:color="auto" w:val="clear"/>
            <w:tcMar>
              <w:top w:type="dxa" w:w="100"/>
              <w:left w:type="dxa" w:w="0"/>
              <w:bottom w:type="dxa" w:w="100"/>
              <w:right w:type="dxa" w:w="120"/>
            </w:tcMar>
          </w:tcPr>
          <w:p>
            <w:r>
              <w:rPr>
                <w:b/>
                <w:bCs/>
                <w:color w:val="374151"/>
                <w:spacing w:val="12"/>
                <w:sz w:val="18"/>
                <w:szCs w:val="18"/>
              </w:rPr>
              <w:t xml:space="preserve">File</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Product Specification (branded HUBSS cover)</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Specification</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DuraTherm-Specification-Branded.pdf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Colour Guide</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Colour Guide</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Duratherm-Colour-Guide.pdf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Technical Data Sheet (TS003)</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TDS</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TS003_DuraTherm_220204.pdf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Custom Design Guidelines</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Design Guide</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Duratherm-Custom-Design-Guidelines.pdf</w:t>
            </w:r>
          </w:p>
        </w:tc>
      </w:tr>
      <w:tr>
        <w:tc>
          <w:tcPr>
            <w:tcW w:type="dxa" w:w="4800"/>
            <w:tcBorders>
              <w:top w:val="none" w:color="FFFFFF" w:sz="0"/>
              <w:left w:val="none" w:color="FFFFFF" w:sz="0"/>
              <w:bottom w:val="none" w:color="FFFFFF" w:sz="0"/>
              <w:right w:val="none" w:color="FFFFFF" w:sz="0"/>
            </w:tcBorders>
            <w:tcMar>
              <w:top w:type="dxa" w:w="100"/>
              <w:left w:type="dxa" w:w="0"/>
              <w:bottom w:type="dxa" w:w="100"/>
              <w:right w:type="dxa" w:w="120"/>
            </w:tcMar>
          </w:tcPr>
          <w:p>
            <w:r>
              <w:rPr>
                <w:b/>
                <w:bCs/>
                <w:color w:val="111827"/>
                <w:sz w:val="21"/>
                <w:szCs w:val="21"/>
              </w:rPr>
              <w:t xml:space="preserve">Design Manual</w:t>
            </w:r>
          </w:p>
        </w:tc>
        <w:tc>
          <w:tcPr>
            <w:tcW w:type="dxa" w:w="2000"/>
            <w:tcBorders>
              <w:top w:val="none" w:color="FFFFFF" w:sz="0"/>
              <w:left w:val="none" w:color="FFFFFF" w:sz="0"/>
              <w:bottom w:val="none" w:color="FFFFFF" w:sz="0"/>
              <w:right w:val="none" w:color="FFFFFF" w:sz="0"/>
            </w:tcBorders>
            <w:tcMar>
              <w:top w:type="dxa" w:w="100"/>
              <w:left w:type="dxa" w:w="0"/>
              <w:bottom w:type="dxa" w:w="100"/>
              <w:right w:type="dxa" w:w="120"/>
            </w:tcMar>
          </w:tcPr>
          <w:p>
            <w:r>
              <w:rPr>
                <w:b/>
                <w:bCs/>
                <w:color w:val="F97316"/>
                <w:sz w:val="18"/>
                <w:szCs w:val="18"/>
              </w:rPr>
              <w:t xml:space="preserve">Design Manual</w:t>
            </w:r>
          </w:p>
        </w:tc>
        <w:tc>
          <w:tcPr>
            <w:tcW w:type="dxa" w:w="3280"/>
            <w:tcBorders>
              <w:top w:val="none" w:color="FFFFFF" w:sz="0"/>
              <w:left w:val="none" w:color="FFFFFF" w:sz="0"/>
              <w:bottom w:val="none" w:color="FFFFFF" w:sz="0"/>
              <w:right w:val="none" w:color="FFFFFF" w:sz="0"/>
            </w:tcBorders>
            <w:tcMar>
              <w:top w:type="dxa" w:w="100"/>
              <w:left w:type="dxa" w:w="0"/>
              <w:bottom w:type="dxa" w:w="100"/>
              <w:right w:type="dxa" w:w="0"/>
            </w:tcMar>
          </w:tcPr>
          <w:p>
            <w:r>
              <w:rPr>
                <w:i/>
                <w:iCs/>
                <w:color w:val="6B7280"/>
                <w:sz w:val="16"/>
                <w:szCs w:val="16"/>
              </w:rPr>
              <w:t xml:space="preserve">DuraTherm-Design-Manual.pdf</w:t>
            </w:r>
          </w:p>
        </w:tc>
      </w:tr>
    </w:tbl>
    <w:p>
      <w:pPr>
        <w:pStyle w:val="Heading2"/>
        <w:spacing w:after="120" w:before="320"/>
      </w:pPr>
      <w:r>
        <w:rPr>
          <w:b/>
          <w:bCs/>
          <w:color w:val="0A0A0A"/>
          <w:sz w:val="26"/>
          <w:szCs w:val="26"/>
        </w:rPr>
        <w:t xml:space="preserve">Source notes &amp; [VERIFY] flags</w:t>
      </w:r>
    </w:p>
    <w:p>
      <w:pPr>
        <w:spacing w:after="60" w:before="0"/>
      </w:pPr>
      <w:r>
        <w:rPr>
          <w:b/>
          <w:bCs/>
          <w:color w:val="F97316"/>
          <w:spacing w:val="24"/>
          <w:sz w:val="16"/>
          <w:szCs w:val="16"/>
        </w:rPr>
        <w:t xml:space="preserve">SOURCES USED</w:t>
      </w:r>
    </w:p>
    <w:p>
      <w:pPr>
        <w:pStyle w:val="ListParagraph"/>
        <w:numPr>
          <w:ilvl w:val="0"/>
          <w:numId w:val="2"/>
        </w:numPr>
        <w:spacing w:after="80" w:before="0" w:line="280"/>
      </w:pPr>
      <w:r>
        <w:rPr>
          <w:color w:val="111827"/>
          <w:sz w:val="22"/>
          <w:szCs w:val="22"/>
        </w:rPr>
        <w:t xml:space="preserve">DuraTherm Specification (.pdf)</w:t>
      </w:r>
    </w:p>
    <w:p>
      <w:pPr>
        <w:pStyle w:val="ListParagraph"/>
        <w:numPr>
          <w:ilvl w:val="0"/>
          <w:numId w:val="2"/>
        </w:numPr>
        <w:spacing w:after="80" w:before="0" w:line="280"/>
      </w:pPr>
      <w:r>
        <w:rPr>
          <w:color w:val="111827"/>
          <w:sz w:val="22"/>
          <w:szCs w:val="22"/>
        </w:rPr>
        <w:t xml:space="preserve">DuraTherm TS003 Technical Data Sheet (.pdf)</w:t>
      </w:r>
    </w:p>
    <w:p>
      <w:pPr>
        <w:pStyle w:val="ListParagraph"/>
        <w:numPr>
          <w:ilvl w:val="0"/>
          <w:numId w:val="2"/>
        </w:numPr>
        <w:spacing w:after="80" w:before="0" w:line="280"/>
      </w:pPr>
      <w:r>
        <w:rPr>
          <w:color w:val="111827"/>
          <w:sz w:val="22"/>
          <w:szCs w:val="22"/>
        </w:rPr>
        <w:t xml:space="preserve">DuraTherm Colour Guide and Design Manual (.pdf)</w:t>
      </w:r>
    </w:p>
    <w:p>
      <w:pPr>
        <w:spacing w:after="0" w:before="120"/>
      </w:pPr>
    </w:p>
    <w:p>
      <w:pPr>
        <w:spacing w:after="60" w:before="0"/>
      </w:pPr>
      <w:r>
        <w:rPr>
          <w:b/>
          <w:bCs/>
          <w:color w:val="F97316"/>
          <w:spacing w:val="24"/>
          <w:sz w:val="16"/>
          <w:szCs w:val="16"/>
        </w:rPr>
        <w:t xml:space="preserve">ITEMS REQUIRING DOUG'S CONFIRMATION</w:t>
      </w: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Site says "flush with the surrounding road — no raised edges, no profile for plow blades." Manufacturer language is "slightly below the surface level" (sub-flush) — that's what makes it plow-tolerant. Site language is directionally right but slightly imprecise. Confirm whether to keep "flush" (consumer-friendly) or shift to "sub-flush" (technically accurate).</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Site says "embedded into a milled groove in the asphalt." The depression is created by template imprinting into heated asphalt, NOT by cold milling. Recommend revising to "imprinted into heated asphalt by template and vibratory plate compactor."</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Asphalt only — confirm the current site never implies DuraTherm can be installed on concrete. The TS003 sheet is explicit that the system is not approved for Portland cement concrete.</w:t>
            </w:r>
          </w:p>
        </w:tc>
      </w:tr>
    </w:tbl>
    <w:p>
      <w:pPr>
        <w:spacing w:after="0" w:before="60"/>
      </w:pPr>
    </w:p>
    <w:p>
      <w:pPr>
        <w:spacing w:after="0" w:before="120"/>
      </w:pPr>
    </w:p>
    <w:p>
      <w:pPr>
        <w:spacing w:after="60" w:before="0"/>
      </w:pPr>
      <w:r>
        <w:rPr>
          <w:b/>
          <w:bCs/>
          <w:color w:val="F97316"/>
          <w:spacing w:val="24"/>
          <w:sz w:val="16"/>
          <w:szCs w:val="16"/>
        </w:rPr>
        <w:t xml:space="preserve">CURRENT SITE COPY FLAGGED AS INACCURATE / EMBELLISHED</w:t>
      </w: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Site copy says DuraTherm sits in a "milled groove." Manufacturer install method is template-imprinted into heated asphalt — fundamentally different from cold milling.</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Site copy says "flush surface, zero plow profile." Manufacturer describes the installed thermoplastic as sub-flush ("slightly below the surface level"). The intent is right; precise wording should match the spec.</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Currently no clear callout on the site that DuraTherm is asphalt-only. The manufacturer's specification is explicit: not approved for Portland cement concrete. This should be visible on the product page.</w:t>
            </w:r>
          </w:p>
        </w:tc>
      </w:tr>
    </w:tbl>
    <w:p>
      <w:pPr>
        <w:spacing w:after="0" w:before="60"/>
      </w:pPr>
    </w:p>
    <w:p>
      <w:pPr>
        <w:spacing w:after="80" w:before="320"/>
      </w:pPr>
    </w:p>
    <w:p>
      <w:pPr>
        <w:pBdr>
          <w:bottom w:val="single" w:color="D1D5DB" w:sz="6" w:space="1"/>
        </w:pBdr>
      </w:pPr>
    </w:p>
    <w:p>
      <w:pPr>
        <w:spacing w:after="0" w:before="200"/>
      </w:pPr>
      <w:r>
        <w:rPr>
          <w:b/>
          <w:bCs/>
          <w:color w:val="374151"/>
          <w:sz w:val="20"/>
          <w:szCs w:val="20"/>
        </w:rPr>
        <w:t xml:space="preserve">Approved for website use by: </w:t>
      </w:r>
      <w:r>
        <w:rPr>
          <w:color w:val="374151"/>
          <w:sz w:val="20"/>
          <w:szCs w:val="20"/>
        </w:rPr>
        <w:t xml:space="preserve">______________________________   Date: ______________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HUBSS — Product Source of Truth (DRAFT) · </w:t>
    </w: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80"/>
      <w:outlineLvl w:val="0"/>
    </w:pPr>
    <w:rPr>
      <w:rFonts w:ascii="Calibri" w:cs="Calibri" w:eastAsia="Calibri" w:hAnsi="Calibri"/>
      <w:b/>
      <w:bCs/>
      <w:color w:val="0A0A0A"/>
      <w:sz w:val="44"/>
      <w:szCs w:val="44"/>
    </w:rPr>
  </w:style>
  <w:style w:type="paragraph" w:styleId="Heading2">
    <w:name w:val="Heading 2"/>
    <w:basedOn w:val="Normal"/>
    <w:next w:val="Normal"/>
    <w:qFormat/>
    <w:pPr>
      <w:spacing w:after="120" w:before="320"/>
      <w:outlineLvl w:val="1"/>
    </w:pPr>
    <w:rPr>
      <w:rFonts w:ascii="Calibri" w:cs="Calibri" w:eastAsia="Calibri" w:hAnsi="Calibri"/>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HUBSS Product Source of Truth</dc:title>
  <dc:creator>Based Agency for HUB Surface Systems</dc:creator>
  <dc:description>Draft source-of-truth product reference for client sign-off.</dc:description>
  <cp:lastModifiedBy>Un-named</cp:lastModifiedBy>
  <cp:revision>1</cp:revision>
  <dcterms:created xsi:type="dcterms:W3CDTF">2026-05-22T00:05:06.246Z</dcterms:created>
  <dcterms:modified xsi:type="dcterms:W3CDTF">2026-05-22T00:05:06.246Z</dcterms:modified>
</cp:coreProperties>
</file>

<file path=docProps/custom.xml><?xml version="1.0" encoding="utf-8"?>
<Properties xmlns="http://schemas.openxmlformats.org/officeDocument/2006/custom-properties" xmlns:vt="http://schemas.openxmlformats.org/officeDocument/2006/docPropsVTypes"/>
</file>