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Pr>
        <w:jc w:val="center"/>
      </w:pPr>
      <w:r>
        <w:rPr>
          <w:rFonts w:ascii="Times New Roman" w:hAnsi="Times New Roman"/>
          <w:b/>
          <w:sz w:val="24"/>
        </w:rPr>
        <w:t>Documentación técnica y de usuario: aplicación móvil Calculadora IMC+ (Expo y React Native)</w:t>
      </w:r>
    </w:p>
    <w:p/>
    <w:p/>
    <w:p/>
    <w:p>
      <w:pPr>
        <w:spacing w:line="480" w:lineRule="auto" w:after="0"/>
        <w:jc w:val="center"/>
      </w:pPr>
      <w:r>
        <w:rPr>
          <w:rFonts w:ascii="Times New Roman" w:hAnsi="Times New Roman"/>
          <w:sz w:val="24"/>
        </w:rPr>
        <w:t>Nicolas Fajardo (ID 409483)</w:t>
      </w:r>
    </w:p>
    <w:p>
      <w:pPr>
        <w:spacing w:line="480" w:lineRule="auto" w:after="0"/>
        <w:jc w:val="center"/>
      </w:pPr>
      <w:r>
        <w:rPr>
          <w:rFonts w:ascii="Times New Roman" w:hAnsi="Times New Roman"/>
          <w:sz w:val="24"/>
        </w:rPr>
        <w:t>Valentina Quinayas (ID 386959)</w:t>
      </w:r>
    </w:p>
    <w:p>
      <w:pPr>
        <w:spacing w:line="480" w:lineRule="auto" w:after="0"/>
        <w:jc w:val="center"/>
      </w:pPr>
      <w:r>
        <w:rPr>
          <w:rFonts w:ascii="Times New Roman" w:hAnsi="Times New Roman"/>
          <w:sz w:val="24"/>
        </w:rPr>
      </w:r>
    </w:p>
    <w:p>
      <w:pPr>
        <w:spacing w:line="480" w:lineRule="auto" w:after="0"/>
        <w:jc w:val="center"/>
      </w:pPr>
      <w:r>
        <w:rPr>
          <w:rFonts w:ascii="Times New Roman" w:hAnsi="Times New Roman"/>
          <w:sz w:val="24"/>
        </w:rPr>
        <w:t>Universidad Católica [completar sede o programa]</w:t>
      </w:r>
    </w:p>
    <w:p>
      <w:pPr>
        <w:spacing w:line="480" w:lineRule="auto" w:after="0"/>
        <w:jc w:val="center"/>
      </w:pPr>
      <w:r>
        <w:rPr>
          <w:rFonts w:ascii="Times New Roman" w:hAnsi="Times New Roman"/>
          <w:sz w:val="24"/>
        </w:rPr>
        <w:t>Desarrollo de aplicaciones móviles</w:t>
      </w:r>
    </w:p>
    <w:p>
      <w:pPr>
        <w:spacing w:line="480" w:lineRule="auto" w:after="0"/>
        <w:jc w:val="center"/>
      </w:pPr>
      <w:r>
        <w:rPr>
          <w:rFonts w:ascii="Times New Roman" w:hAnsi="Times New Roman"/>
          <w:sz w:val="24"/>
        </w:rPr>
      </w:r>
    </w:p>
    <w:p>
      <w:pPr>
        <w:spacing w:line="480" w:lineRule="auto" w:after="0"/>
        <w:jc w:val="center"/>
      </w:pPr>
      <w:r>
        <w:rPr>
          <w:rFonts w:ascii="Times New Roman" w:hAnsi="Times New Roman"/>
          <w:sz w:val="24"/>
        </w:rPr>
        <w:t>Docente: [completar]</w:t>
      </w:r>
    </w:p>
    <w:p>
      <w:pPr>
        <w:spacing w:line="480" w:lineRule="auto" w:after="0"/>
        <w:jc w:val="center"/>
      </w:pPr>
      <w:r>
        <w:rPr>
          <w:rFonts w:ascii="Times New Roman" w:hAnsi="Times New Roman"/>
          <w:sz w:val="24"/>
        </w:rPr>
      </w:r>
    </w:p>
    <w:p>
      <w:pPr>
        <w:spacing w:line="480" w:lineRule="auto" w:after="0"/>
        <w:jc w:val="center"/>
      </w:pPr>
      <w:r>
        <w:rPr>
          <w:rFonts w:ascii="Times New Roman" w:hAnsi="Times New Roman"/>
          <w:sz w:val="24"/>
        </w:rPr>
        <w:t>Fecha de entrega: 15 de abril de 2026</w:t>
      </w:r>
    </w:p>
    <w:p>
      <w:r>
        <w:br w:type="page"/>
      </w:r>
    </w:p>
    <w:p>
      <w:pPr>
        <w:spacing w:line="480" w:lineRule="auto" w:before="240" w:after="120"/>
        <w:ind w:firstLine="0"/>
        <w:jc w:val="center"/>
      </w:pPr>
      <w:r>
        <w:rPr>
          <w:rFonts w:ascii="Times New Roman" w:hAnsi="Times New Roman"/>
          <w:b w:val="0"/>
          <w:sz w:val="24"/>
        </w:rPr>
        <w:t>Resumen</w:t>
      </w:r>
    </w:p>
    <w:p>
      <w:pPr>
        <w:spacing w:line="480" w:lineRule="auto" w:before="0" w:after="0"/>
        <w:ind w:firstLine="720"/>
      </w:pPr>
      <w:r>
        <w:rPr>
          <w:rFonts w:ascii="Times New Roman" w:hAnsi="Times New Roman"/>
          <w:sz w:val="24"/>
        </w:rPr>
        <w:t>El presente documento consolida la documentación de la aplicación Calculadora IMC+, desarrollada con Expo (~54) y React Native, con navegación mediante Expo Router. La app calcula el índice de masa corporal (IMC) para adultos según puntos de corte habituales de la Organización Mundial de la Salud (OMS) y, para niños y adolescentes entre 5 y 19 años, utiliza el enfoque de IMC para la edad con tablas LMS de referencia OMS 2007, expresando el resultado como puntaje Z y categoría. Se describen requisitos, instalación, estructura del código, flujos de pantalla y referencias bibliográficas en formato APA 7.</w:t>
      </w:r>
    </w:p>
    <w:p>
      <w:pPr>
        <w:spacing w:line="480" w:lineRule="auto" w:before="0" w:after="0"/>
        <w:ind w:firstLine="0"/>
      </w:pPr>
      <w:r>
        <w:rPr>
          <w:rFonts w:ascii="Times New Roman" w:hAnsi="Times New Roman"/>
          <w:sz w:val="24"/>
        </w:rPr>
        <w:t>Palabras clave: índice de masa corporal, Expo, React Native, OMS, LMS, salud infantil.</w:t>
      </w:r>
    </w:p>
    <w:p>
      <w:r>
        <w:br w:type="page"/>
      </w:r>
    </w:p>
    <w:p>
      <w:pPr>
        <w:spacing w:line="480" w:lineRule="auto" w:before="240" w:after="120"/>
        <w:ind w:firstLine="0"/>
        <w:jc w:val="center"/>
      </w:pPr>
      <w:r>
        <w:rPr>
          <w:rFonts w:ascii="Times New Roman" w:hAnsi="Times New Roman"/>
          <w:b w:val="0"/>
          <w:sz w:val="24"/>
        </w:rPr>
        <w:t>Introducción</w:t>
      </w:r>
    </w:p>
    <w:p>
      <w:pPr>
        <w:spacing w:line="480" w:lineRule="auto" w:before="0" w:after="0"/>
        <w:ind w:firstLine="720"/>
      </w:pPr>
      <w:r>
        <w:rPr>
          <w:rFonts w:ascii="Times New Roman" w:hAnsi="Times New Roman"/>
          <w:sz w:val="24"/>
        </w:rPr>
        <w:t>Calculadora IMC+ es una aplicación móvil multiplataforma orientada a estimar el IMC a partir de peso (kg) y altura (m), diferenciando el cálculo para adultos y para niños y adolescentes. La interfaz permite elegir el perfil en la pantalla de inicio, completar los datos solicitados y visualizar categoría, recomendaciones generales de hábitos y una representación visual del resultado. El propósito de esta documentación es facilitar la comprensión del proyecto para fines académicos, despliegue y mantenimiento.</w:t>
      </w:r>
    </w:p>
    <w:p>
      <w:pPr>
        <w:spacing w:line="480" w:lineRule="auto" w:before="120" w:after="120"/>
        <w:ind w:firstLine="0"/>
      </w:pPr>
      <w:r>
        <w:rPr>
          <w:rFonts w:ascii="Times New Roman" w:hAnsi="Times New Roman"/>
          <w:b w:val="0"/>
          <w:sz w:val="24"/>
        </w:rPr>
        <w:t>Descripción general del producto</w:t>
      </w:r>
    </w:p>
    <w:p>
      <w:pPr>
        <w:spacing w:line="480" w:lineRule="auto" w:before="0" w:after="0"/>
        <w:ind w:firstLine="720"/>
      </w:pPr>
      <w:r>
        <w:rPr>
          <w:rFonts w:ascii="Times New Roman" w:hAnsi="Times New Roman"/>
          <w:sz w:val="24"/>
        </w:rPr>
        <w:t>Nombre de la aplicación: Calculadora IMC+ (identificador de proyecto v2calculadoraimc). Versión indicada en el manifiesto: 1.0.0. La orientación predeterminada es vertical; la interfaz se adapta a tema claro u oscuro según la configuración del sistema.</w:t>
      </w:r>
    </w:p>
    <w:p>
      <w:pPr>
        <w:spacing w:line="480" w:lineRule="auto" w:before="120" w:after="120"/>
        <w:ind w:firstLine="0"/>
      </w:pPr>
      <w:r>
        <w:rPr>
          <w:rFonts w:ascii="Times New Roman" w:hAnsi="Times New Roman"/>
          <w:b w:val="0"/>
          <w:sz w:val="24"/>
        </w:rPr>
        <w:t>Requisitos del entorno de desarrollo</w:t>
      </w:r>
    </w:p>
    <w:p>
      <w:pPr>
        <w:spacing w:line="480" w:lineRule="auto" w:before="0" w:after="0"/>
        <w:ind w:firstLine="720"/>
      </w:pPr>
      <w:r>
        <w:rPr>
          <w:rFonts w:ascii="Times New Roman" w:hAnsi="Times New Roman"/>
          <w:sz w:val="24"/>
        </w:rPr>
        <w:t>Se recomienda Node.js en versión compatible con el ecosistema Expo 54 (por ejemplo Node.js 20 LTS o superior; el repositorio público sugiere Node.js 24). Se requiere npm (incluido con Node) o un gestor alternativo (yarn, pnpm). Para prueba en dispositivo físico es opcional la app Expo Go. Para Android en emulador o compilación nativa, Android Studio y SDK configurados; para iOS, Xcode en macOS.</w:t>
      </w:r>
    </w:p>
    <w:p>
      <w:pPr>
        <w:spacing w:line="480" w:lineRule="auto" w:before="120" w:after="120"/>
        <w:ind w:firstLine="0"/>
      </w:pPr>
      <w:r>
        <w:rPr>
          <w:rFonts w:ascii="Times New Roman" w:hAnsi="Times New Roman"/>
          <w:b w:val="0"/>
          <w:sz w:val="24"/>
        </w:rPr>
        <w:t>Instalación y puesta en marcha</w:t>
      </w:r>
    </w:p>
    <w:p>
      <w:pPr>
        <w:spacing w:line="480" w:lineRule="auto" w:before="0" w:after="0"/>
        <w:ind w:firstLine="720"/>
      </w:pPr>
      <w:r>
        <w:rPr>
          <w:rFonts w:ascii="Times New Roman" w:hAnsi="Times New Roman"/>
          <w:sz w:val="24"/>
        </w:rPr>
        <w:t>Desde la raíz del proyecto: (1) instalar dependencias con npm install; (2) iniciar el servidor de desarrollo con npx expo start o npm run start. En la terminal de Expo se puede abrir la app en web (tecla w o script npm run web), en Android (tecla a o npm run android) o en iOS (npm run ios) según el entorno disponible. Si el puerto 8081 está ocupado, puede usarse npx expo start --port 8082.</w:t>
      </w:r>
    </w:p>
    <w:p>
      <w:pPr>
        <w:spacing w:line="480" w:lineRule="auto" w:before="120" w:after="120"/>
        <w:ind w:firstLine="0"/>
      </w:pPr>
      <w:r>
        <w:rPr>
          <w:rFonts w:ascii="Times New Roman" w:hAnsi="Times New Roman"/>
          <w:b w:val="0"/>
          <w:sz w:val="24"/>
        </w:rPr>
        <w:t>Arquitectura y stack tecnológico</w:t>
      </w:r>
    </w:p>
    <w:p>
      <w:pPr>
        <w:spacing w:line="480" w:lineRule="auto" w:before="0" w:after="0"/>
        <w:ind w:firstLine="720"/>
      </w:pPr>
      <w:r>
        <w:rPr>
          <w:rFonts w:ascii="Times New Roman" w:hAnsi="Times New Roman"/>
          <w:sz w:val="24"/>
        </w:rPr>
        <w:t>El punto de entrada principal es expo-router/entry, con rutas basadas en archivos bajo la carpeta app/. La navegación raíz es un Stack de Expo Router con pantallas index (inicio), adultos y ninos. Las dependencias principales incluyen expo (~54), react-native (~0.81), react 19, expo-router, react-native-reanimated, react-native-gesture-handler y react-native-safe-area-context, entre otras listadas en package.json.</w:t>
      </w:r>
    </w:p>
    <w:p>
      <w:pPr>
        <w:spacing w:line="480" w:lineRule="auto" w:before="120" w:after="120"/>
        <w:ind w:firstLine="0"/>
      </w:pPr>
      <w:r>
        <w:rPr>
          <w:rFonts w:ascii="Times New Roman" w:hAnsi="Times New Roman"/>
          <w:b w:val="0"/>
          <w:sz w:val="24"/>
        </w:rPr>
        <w:t>Estructura relevante del proyecto</w:t>
      </w:r>
    </w:p>
    <w:p>
      <w:pPr>
        <w:spacing w:line="480" w:lineRule="auto" w:before="0" w:after="0"/>
        <w:ind w:firstLine="720"/>
      </w:pPr>
      <w:r>
        <w:rPr>
          <w:rFonts w:ascii="Times New Roman" w:hAnsi="Times New Roman"/>
          <w:sz w:val="24"/>
        </w:rPr>
        <w:t>app/_layout.tsx: define el Stack y títulos de cabecera. app/index.tsx: pantalla de bienvenida y selección Adultos / Niños y adolescentes. app/adultos.tsx: formulario edad, peso, altura y resultado para adultos. app/ninos.tsx: sexo biológico (curvas OMS), edad, peso, altura y resultado para 5–19 años. app/logic/calcularIMC.ts: IMC, categorías OMS para adultos, barra de posición y recomendaciones. app/logic/calcularIMCNinosOMS.ts y whoBmiLmsData.ts: método LMS, z-score e interpolación mensual. app/components/: tarjetas de resultado y elementos de interfaz. app/styles/homeStyles.ts: estilos compartidos. scripts/gen-who-lms.mjs: utilidad para datos LMS.</w:t>
      </w:r>
    </w:p>
    <w:p>
      <w:pPr>
        <w:spacing w:line="480" w:lineRule="auto" w:before="120" w:after="120"/>
        <w:ind w:firstLine="0"/>
      </w:pPr>
      <w:r>
        <w:rPr>
          <w:rFonts w:ascii="Times New Roman" w:hAnsi="Times New Roman"/>
          <w:b w:val="0"/>
          <w:sz w:val="24"/>
        </w:rPr>
        <w:t>Funcionalidades por pantalla</w:t>
      </w:r>
    </w:p>
    <w:p>
      <w:pPr>
        <w:spacing w:line="480" w:lineRule="auto" w:before="0" w:after="0"/>
        <w:ind w:firstLine="720"/>
      </w:pPr>
      <w:r>
        <w:rPr>
          <w:rFonts w:ascii="Times New Roman" w:hAnsi="Times New Roman"/>
          <w:sz w:val="24"/>
        </w:rPr>
        <w:t>Inicio: dos accesos diferenciados con texto aclaratorio (adultos: IMC clásico y curso opcional; niños: referencia OMS 2007, 5 a 19 años). Adultos: validación de campos numéricos, cálculo de IMC, categoría (bajo peso, normal, sobrepeso, obesidad), color asociado, barra indicadora, recomendaciones contextualizadas y botón para nuevo cálculo con desplazamiento al inicio del formulario. Niños y adolescentes: selección Niño/Niña, mismos campos con edad en años (admite decimales con coma o punto), cálculo según OMS 2007 con z-score, categorías por umbrales de Z (por ejemplo delgadez severa, adecuado, sobrepeso, obesidad), texto de referencia y tarjeta de resultado específica.</w:t>
      </w:r>
    </w:p>
    <w:p>
      <w:pPr>
        <w:spacing w:line="480" w:lineRule="auto" w:before="120" w:after="120"/>
        <w:ind w:firstLine="0"/>
      </w:pPr>
      <w:r>
        <w:rPr>
          <w:rFonts w:ascii="Times New Roman" w:hAnsi="Times New Roman"/>
          <w:b w:val="0"/>
          <w:sz w:val="24"/>
        </w:rPr>
        <w:t>Consideraciones de uso y limitaciones</w:t>
      </w:r>
    </w:p>
    <w:p>
      <w:pPr>
        <w:spacing w:line="480" w:lineRule="auto" w:before="0" w:after="0"/>
        <w:ind w:firstLine="720"/>
      </w:pPr>
      <w:r>
        <w:rPr>
          <w:rFonts w:ascii="Times New Roman" w:hAnsi="Times New Roman"/>
          <w:sz w:val="24"/>
        </w:rPr>
        <w:t>Las recomendaciones mostradas son de carácter general y educativo; no sustituyen valoración médica ni nutricional. En menores, las decisiones deben coordinarse con pediatría. Los datos de referencia OMS están embebidos en el código para funcionamiento offline; cualquier actualización oficial de tablas LMS debería revisarse y, si aplica, regenerarse con los scripts del repositorio.</w:t>
      </w:r>
    </w:p>
    <w:p>
      <w:pPr>
        <w:spacing w:line="480" w:lineRule="auto" w:before="120" w:after="120"/>
        <w:ind w:firstLine="0"/>
      </w:pPr>
      <w:r>
        <w:rPr>
          <w:rFonts w:ascii="Times New Roman" w:hAnsi="Times New Roman"/>
          <w:b w:val="0"/>
          <w:sz w:val="24"/>
        </w:rPr>
        <w:t>Tabla de comandos frecuentes</w:t>
      </w:r>
    </w:p>
    <w:tbl>
      <w:tblPr>
        <w:tblStyle w:val="TableGrid"/>
        <w:tblW w:type="auto" w:w="0"/>
        <w:tblLook w:firstColumn="1" w:firstRow="1" w:lastColumn="0" w:lastRow="0" w:noHBand="0" w:noVBand="1" w:val="04A0"/>
      </w:tblPr>
      <w:tblGrid>
        <w:gridCol w:w="4680"/>
        <w:gridCol w:w="4680"/>
      </w:tblGrid>
      <w:tr>
        <w:tc>
          <w:tcPr>
            <w:tcW w:type="dxa" w:w="4680"/>
          </w:tcPr>
          <w:p>
            <w:r>
              <w:rPr>
                <w:rFonts w:ascii="Times New Roman" w:hAnsi="Times New Roman"/>
                <w:b/>
                <w:sz w:val="22"/>
              </w:rPr>
              <w:t>Comando</w:t>
            </w:r>
          </w:p>
        </w:tc>
        <w:tc>
          <w:tcPr>
            <w:tcW w:type="dxa" w:w="4680"/>
          </w:tcPr>
          <w:p>
            <w:r>
              <w:rPr>
                <w:rFonts w:ascii="Times New Roman" w:hAnsi="Times New Roman"/>
                <w:b/>
                <w:sz w:val="22"/>
              </w:rPr>
              <w:t>Descripción</w:t>
            </w:r>
          </w:p>
        </w:tc>
      </w:tr>
      <w:tr>
        <w:tc>
          <w:tcPr>
            <w:tcW w:type="dxa" w:w="4680"/>
          </w:tcPr>
          <w:p>
            <w:r>
              <w:rPr>
                <w:rFonts w:ascii="Times New Roman" w:hAnsi="Times New Roman"/>
                <w:sz w:val="22"/>
              </w:rPr>
              <w:t>npm install</w:t>
            </w:r>
          </w:p>
        </w:tc>
        <w:tc>
          <w:tcPr>
            <w:tcW w:type="dxa" w:w="4680"/>
          </w:tcPr>
          <w:p>
            <w:r>
              <w:rPr>
                <w:rFonts w:ascii="Times New Roman" w:hAnsi="Times New Roman"/>
                <w:sz w:val="22"/>
              </w:rPr>
              <w:t>Instala dependencias del proyecto.</w:t>
            </w:r>
          </w:p>
        </w:tc>
      </w:tr>
      <w:tr>
        <w:tc>
          <w:tcPr>
            <w:tcW w:type="dxa" w:w="4680"/>
          </w:tcPr>
          <w:p>
            <w:r>
              <w:rPr>
                <w:rFonts w:ascii="Times New Roman" w:hAnsi="Times New Roman"/>
                <w:sz w:val="22"/>
              </w:rPr>
              <w:t>npx expo start</w:t>
            </w:r>
          </w:p>
        </w:tc>
        <w:tc>
          <w:tcPr>
            <w:tcW w:type="dxa" w:w="4680"/>
          </w:tcPr>
          <w:p>
            <w:r>
              <w:rPr>
                <w:rFonts w:ascii="Times New Roman" w:hAnsi="Times New Roman"/>
                <w:sz w:val="22"/>
              </w:rPr>
              <w:t>Inicia Metro y la interfaz de desarrollo de Expo.</w:t>
            </w:r>
          </w:p>
        </w:tc>
      </w:tr>
      <w:tr>
        <w:tc>
          <w:tcPr>
            <w:tcW w:type="dxa" w:w="4680"/>
          </w:tcPr>
          <w:p>
            <w:r>
              <w:rPr>
                <w:rFonts w:ascii="Times New Roman" w:hAnsi="Times New Roman"/>
                <w:sz w:val="22"/>
              </w:rPr>
              <w:t>npx expo start --tunnel</w:t>
            </w:r>
          </w:p>
        </w:tc>
        <w:tc>
          <w:tcPr>
            <w:tcW w:type="dxa" w:w="4680"/>
          </w:tcPr>
          <w:p>
            <w:r>
              <w:rPr>
                <w:rFonts w:ascii="Times New Roman" w:hAnsi="Times New Roman"/>
                <w:sz w:val="22"/>
              </w:rPr>
              <w:t>Útil si el móvil no está en la misma red Wi-Fi.</w:t>
            </w:r>
          </w:p>
        </w:tc>
      </w:tr>
      <w:tr>
        <w:tc>
          <w:tcPr>
            <w:tcW w:type="dxa" w:w="4680"/>
          </w:tcPr>
          <w:p>
            <w:r>
              <w:rPr>
                <w:rFonts w:ascii="Times New Roman" w:hAnsi="Times New Roman"/>
                <w:sz w:val="22"/>
              </w:rPr>
              <w:t>npx expo start --clear</w:t>
            </w:r>
          </w:p>
        </w:tc>
        <w:tc>
          <w:tcPr>
            <w:tcW w:type="dxa" w:w="4680"/>
          </w:tcPr>
          <w:p>
            <w:r>
              <w:rPr>
                <w:rFonts w:ascii="Times New Roman" w:hAnsi="Times New Roman"/>
                <w:sz w:val="22"/>
              </w:rPr>
              <w:t>Limpia caché de Metro ante errores extraños.</w:t>
            </w:r>
          </w:p>
        </w:tc>
      </w:tr>
      <w:tr>
        <w:tc>
          <w:tcPr>
            <w:tcW w:type="dxa" w:w="4680"/>
          </w:tcPr>
          <w:p>
            <w:r>
              <w:rPr>
                <w:rFonts w:ascii="Times New Roman" w:hAnsi="Times New Roman"/>
                <w:sz w:val="22"/>
              </w:rPr>
              <w:t>npm run web</w:t>
            </w:r>
          </w:p>
        </w:tc>
        <w:tc>
          <w:tcPr>
            <w:tcW w:type="dxa" w:w="4680"/>
          </w:tcPr>
          <w:p>
            <w:r>
              <w:rPr>
                <w:rFonts w:ascii="Times New Roman" w:hAnsi="Times New Roman"/>
                <w:sz w:val="22"/>
              </w:rPr>
              <w:t>Abre la variante web si está configurada.</w:t>
            </w:r>
          </w:p>
        </w:tc>
      </w:tr>
    </w:tbl>
    <w:p/>
    <w:p>
      <w:pPr>
        <w:spacing w:line="480" w:lineRule="auto" w:before="240" w:after="120"/>
        <w:ind w:firstLine="0"/>
        <w:jc w:val="center"/>
      </w:pPr>
      <w:r>
        <w:rPr>
          <w:rFonts w:ascii="Times New Roman" w:hAnsi="Times New Roman"/>
          <w:b w:val="0"/>
          <w:sz w:val="24"/>
        </w:rPr>
        <w:t>Referencias</w:t>
      </w:r>
    </w:p>
    <w:p>
      <w:pPr>
        <w:spacing w:line="480" w:lineRule="auto"/>
        <w:ind w:left="720" w:hanging="720"/>
      </w:pPr>
      <w:r>
        <w:rPr>
          <w:rFonts w:ascii="Times New Roman" w:hAnsi="Times New Roman"/>
          <w:sz w:val="24"/>
        </w:rPr>
        <w:t>Expo. (s. f.). Documentación de Expo. https://docs.expo.dev/</w:t>
      </w:r>
    </w:p>
    <w:p>
      <w:pPr>
        <w:spacing w:line="480" w:lineRule="auto"/>
        <w:ind w:left="720" w:hanging="720"/>
      </w:pPr>
      <w:r>
        <w:rPr>
          <w:rFonts w:ascii="Times New Roman" w:hAnsi="Times New Roman"/>
          <w:sz w:val="24"/>
        </w:rPr>
        <w:t>Meta Open Source. (s. f.). React Native. https://reactnative.dev/</w:t>
      </w:r>
    </w:p>
    <w:p>
      <w:pPr>
        <w:spacing w:line="480" w:lineRule="auto"/>
        <w:ind w:left="720" w:hanging="720"/>
      </w:pPr>
      <w:r>
        <w:rPr>
          <w:rFonts w:ascii="Times New Roman" w:hAnsi="Times New Roman"/>
          <w:sz w:val="24"/>
        </w:rPr>
        <w:t>Organización Mundial de la Salud. (s. f.). Child growth standards: BMI-for-age (5-19 years). https://www.who.int/tools/child-growth-standards/standards/body-mass-index-for-age-bmi-for-age</w:t>
      </w:r>
    </w:p>
    <w:p>
      <w:pPr>
        <w:spacing w:line="480" w:lineRule="auto"/>
        <w:ind w:left="720" w:hanging="720"/>
      </w:pPr>
      <w:r>
        <w:rPr>
          <w:rFonts w:ascii="Times New Roman" w:hAnsi="Times New Roman"/>
          <w:sz w:val="24"/>
        </w:rPr>
        <w:t>American Psychological Association. (2020). Publication manual of the American Psychological Association (7th ed.). American Psychological Association.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