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 · PIX4Dmatic Pro</w:t>
      </w:r>
    </w:p>
    <w:p>
      <w:r>
        <w:t>Ejercicio documental · Procesamiento y ensayo pendientes</w:t>
      </w:r>
    </w:p>
    <w:p>
      <w:pPr>
        <w:pStyle w:val="Heading1"/>
      </w:pPr>
      <w:r>
        <w:t>1. Datos y preparación</w:t>
      </w:r>
    </w:p>
    <w:p>
      <w:r>
        <w:t>Ejemplo público de 100 imágenes de Suiza, eBee X AeriaX y tres GCP. Sirve para explicar un flujo transferible a inventarios. No corresponde a Mavic 3M ni a una finca costarricense.</w:t>
      </w:r>
    </w:p>
    <w:p>
      <w:pPr>
        <w:pStyle w:val="Heading2"/>
      </w:pPr>
      <w:r>
        <w:t>Acceso</w:t>
      </w:r>
    </w:p>
    <w:p>
      <w:r>
        <w:t>R07, sección PIX4Dmatic de 100 imágenes. ZIP directo en datos.json. Mantener imágenes, control y proyecto juntos. El tamaño publicado por cabecera HTTP en la revisión previa fue 1037513382 bytes.</w:t>
      </w:r>
    </w:p>
    <w:p>
      <w:pPr>
        <w:pStyle w:val="Heading2"/>
      </w:pPr>
      <w:r>
        <w:t>Carpetas</w:t>
      </w:r>
    </w:p>
    <w:p>
      <w:r>
        <w:t>C:/UTN_Drones/MATIC/01_originales, 02_proyecto, 03_exportaciones y 04_control. Conservar una copia intacta.</w:t>
      </w:r>
    </w:p>
    <w:p>
      <w:pPr>
        <w:pStyle w:val="Heading2"/>
      </w:pPr>
      <w:r>
        <w:t>Preparación</w:t>
      </w:r>
    </w:p>
    <w:p>
      <w:r>
        <w:t>Descargar resultados oficiales desde R07 o procesar previamente con licencia. No cargar conjuntos voluminosos a GitHub.</w:t>
      </w:r>
    </w:p>
    <w:p>
      <w:pPr>
        <w:pStyle w:val="Heading2"/>
      </w:pPr>
      <w:r>
        <w:t>Estado</w:t>
      </w:r>
    </w:p>
    <w:p>
      <w:r>
        <w:t>No se ejecutó PIX4Dmatic ni se abrió el P4M en esta producción. Debe completarse el registro de ejecución antes de anunciar una demostración operativa.</w:t>
      </w:r>
    </w:p>
    <w:p>
      <w:pPr>
        <w:pStyle w:val="Caption"/>
      </w:pPr>
      <w:r>
        <w:t>Fuentes: R02, R03, R05, R07, M02. URLs en REFERENCIAS.md.</w:t>
      </w:r>
    </w:p>
    <w:p>
      <w:r>
        <w:br w:type="page"/>
      </w:r>
    </w:p>
    <w:p>
      <w:pPr>
        <w:pStyle w:val="Heading1"/>
      </w:pPr>
      <w:r>
        <w:t>2. Importación y coordenadas</w:t>
      </w:r>
    </w:p>
    <w:p>
      <w:r>
        <w:t>Preparar antes de la sesión. Reservar ocho minutos de aula para observar entradas y calidad.</w:t>
      </w:r>
    </w:p>
    <w:p>
      <w:pPr>
        <w:pStyle w:val="Heading2"/>
      </w:pPr>
      <w:r>
        <w:t>1 Fotografías</w:t>
      </w:r>
    </w:p>
    <w:p>
      <w:r>
        <w:t>Comprobar 100 imágenes RGB y archivos de control. Registrar conteo, tamaño y hash del ZIP. Investigar diferencias.</w:t>
      </w:r>
    </w:p>
    <w:p>
      <w:pPr>
        <w:pStyle w:val="Heading2"/>
      </w:pPr>
      <w:r>
        <w:t>2 Proyecto</w:t>
      </w:r>
    </w:p>
    <w:p>
      <w:r>
        <w:t>Abrir una copia de root.p4m. Si faltan fotografías, usar Find images. Para mostrar importación desde cero, crear otra copia y seleccionar la carpeta de fotografías.</w:t>
      </w:r>
    </w:p>
    <w:p>
      <w:pPr>
        <w:pStyle w:val="Heading2"/>
      </w:pPr>
      <w:r>
        <w:t>3 Referencia</w:t>
      </w:r>
    </w:p>
    <w:p>
      <w:r>
        <w:t>La ficha del conjunto publica WGS 84 UTM zona 32N EPSG 32632 y alturas elipsoidales WGS 84. Comprobar CRS de imágenes y GCP por separado. No asignar CRTM05 a datos suizos.</w:t>
      </w:r>
    </w:p>
    <w:p>
      <w:pPr>
        <w:pStyle w:val="Heading2"/>
      </w:pPr>
      <w:r>
        <w:t>4 Control</w:t>
      </w:r>
    </w:p>
    <w:p>
      <w:r>
        <w:t>Revisar los tres GCP y sus marcas. Un punto de ajuste no constituye comprobación independiente. No inventar puntos adicionales.</w:t>
      </w:r>
    </w:p>
    <w:p>
      <w:pPr>
        <w:pStyle w:val="Caption"/>
      </w:pPr>
      <w:r>
        <w:t>Fuentes: R02, R03, R05, R07, M02. URLs en REFERENCIAS.md.</w:t>
      </w:r>
    </w:p>
    <w:p>
      <w:r>
        <w:br w:type="page"/>
      </w:r>
    </w:p>
    <w:p>
      <w:pPr>
        <w:pStyle w:val="Heading1"/>
      </w:pPr>
      <w:r>
        <w:t>3. Calibración y calidad</w:t>
      </w:r>
    </w:p>
    <w:p>
      <w:r>
        <w:t>Ejecutar previamente y conservar evidencia de la versión instalada.</w:t>
      </w:r>
    </w:p>
    <w:p>
      <w:pPr>
        <w:pStyle w:val="Heading2"/>
      </w:pPr>
      <w:r>
        <w:t>5 Calibrar</w:t>
      </w:r>
    </w:p>
    <w:p>
      <w:r>
        <w:t>En Processing activar calibración. Guardar configuración y registro de inicio y final. Si el resultado proviene de Pix4D, conservar su autoría.</w:t>
      </w:r>
    </w:p>
    <w:p>
      <w:pPr>
        <w:pStyle w:val="Heading2"/>
      </w:pPr>
      <w:r>
        <w:t>6 Informe</w:t>
      </w:r>
    </w:p>
    <w:p>
      <w:r>
        <w:t>Abrir Reports y exportar Quality report PDF cuando la licencia lo permita. Revisar imágenes calibradas, conectividad, reproyección, GCP y advertencias.</w:t>
      </w:r>
    </w:p>
    <w:p>
      <w:pPr>
        <w:pStyle w:val="Heading2"/>
      </w:pPr>
      <w:r>
        <w:t>7 Decisión</w:t>
      </w:r>
    </w:p>
    <w:p>
      <w:r>
        <w:t>Bloques desconectados, cobertura insuficiente o errores no explicados impiden usar mediciones cuantitativas como verificadas.</w:t>
      </w:r>
    </w:p>
    <w:p>
      <w:pPr>
        <w:pStyle w:val="Heading2"/>
      </w:pPr>
      <w:r>
        <w:t>Evidencia</w:t>
      </w:r>
    </w:p>
    <w:p>
      <w:r>
        <w:t>Versión y licencia, informe, registro de procesamiento y captura de configuración. Una imagen de nube no prueba ejecución en el equipo docente.</w:t>
      </w:r>
    </w:p>
    <w:p>
      <w:pPr>
        <w:pStyle w:val="Caption"/>
      </w:pPr>
      <w:r>
        <w:t>Fuentes: R02, R03, R05, R07, M02. URLs en REFERENCIAS.md.</w:t>
      </w:r>
    </w:p>
    <w:p>
      <w:r>
        <w:br w:type="page"/>
      </w:r>
    </w:p>
    <w:p>
      <w:pPr>
        <w:pStyle w:val="Heading1"/>
      </w:pPr>
      <w:r>
        <w:t>4. Nube modelo y productos</w:t>
      </w:r>
    </w:p>
    <w:p>
      <w:r>
        <w:t>Dedicar ocho minutos a nube y 3D y siete a DSM y ortomosaico.</w:t>
      </w:r>
    </w:p>
    <w:p>
      <w:pPr>
        <w:pStyle w:val="Heading2"/>
      </w:pPr>
      <w:r>
        <w:t>8 Nube</w:t>
      </w:r>
    </w:p>
    <w:p>
      <w:r>
        <w:t>Generar o abrir la nube densa. Inspeccionar huecos, ruido y continuidad. Explicar su origen fotográfico.</w:t>
      </w:r>
    </w:p>
    <w:p>
      <w:pPr>
        <w:pStyle w:val="Heading2"/>
      </w:pPr>
      <w:r>
        <w:t>9 Malla</w:t>
      </w:r>
    </w:p>
    <w:p>
      <w:r>
        <w:t>Si fue generada, compararla con la nube y conservar su procedencia. No es un paso obligatorio para todos los productos.</w:t>
      </w:r>
    </w:p>
    <w:p>
      <w:pPr>
        <w:pStyle w:val="Heading2"/>
      </w:pPr>
      <w:r>
        <w:t>10 DSM</w:t>
      </w:r>
    </w:p>
    <w:p>
      <w:r>
        <w:t>Revisar unidad vertical y NoData. La superficie incluye vegetación y objetos. La altura de cultivo requiere terreno de referencia.</w:t>
      </w:r>
    </w:p>
    <w:p>
      <w:pPr>
        <w:pStyle w:val="Heading2"/>
      </w:pPr>
      <w:r>
        <w:t>11 Ortomosaico</w:t>
      </w:r>
    </w:p>
    <w:p>
      <w:r>
        <w:t>Revisar costuras, bordes, movimiento de vegetación y vacíos. Confirmar mismo proyecto, fecha y CRS.</w:t>
      </w:r>
    </w:p>
    <w:p>
      <w:pPr>
        <w:pStyle w:val="Caption"/>
      </w:pPr>
      <w:r>
        <w:t>Fuentes: R02, R03, R05, R07, M02. URLs en REFERENCIAS.md.</w:t>
      </w:r>
    </w:p>
    <w:p>
      <w:r>
        <w:br w:type="page"/>
      </w:r>
    </w:p>
    <w:p>
      <w:pPr>
        <w:pStyle w:val="Heading1"/>
      </w:pPr>
      <w:r>
        <w:t>5. Medición exportación y contingencia</w:t>
      </w:r>
    </w:p>
    <w:p>
      <w:r>
        <w:t>Completar el bloque en 30 minutos con procesamiento previo.</w:t>
      </w:r>
    </w:p>
    <w:p>
      <w:pPr>
        <w:pStyle w:val="Heading2"/>
      </w:pPr>
      <w:r>
        <w:t>12 Medir</w:t>
      </w:r>
    </w:p>
    <w:p>
      <w:r>
        <w:t>Elegir distancia o polígono, anotar valor, unidad y elemento. Una lectura sin referencia independiente no demuestra exactitud.</w:t>
      </w:r>
    </w:p>
    <w:p>
      <w:pPr>
        <w:pStyle w:val="Heading2"/>
      </w:pPr>
      <w:r>
        <w:t>13 Exportar</w:t>
      </w:r>
    </w:p>
    <w:p>
      <w:r>
        <w:t>GeoTIFF para DSM y ortomosaico, LAS o LAZ para nube y PDF para calidad. Comprobar CRS, unidad, cobertura y apertura en el receptor.</w:t>
      </w:r>
    </w:p>
    <w:p>
      <w:pPr>
        <w:pStyle w:val="Heading2"/>
      </w:pPr>
      <w:r>
        <w:t>Alternativa</w:t>
      </w:r>
    </w:p>
    <w:p>
      <w:r>
        <w:t>Usar la vista oficial pública y diagramas conceptuales. No simular botones ni inventar informes o resultados.</w:t>
      </w:r>
    </w:p>
    <w:p>
      <w:pPr>
        <w:pStyle w:val="Heading2"/>
      </w:pPr>
      <w:r>
        <w:t>Aceptación</w:t>
      </w:r>
    </w:p>
    <w:p>
      <w:r>
        <w:t>Registrar versión, licencia, datos, informe y resultados en registro-ejecucion.csv. Ensayar como máximo 30 minutos. Hasta entonces la guía queda preparada documentalmente.</w:t>
      </w:r>
    </w:p>
    <w:p>
      <w:pPr>
        <w:pStyle w:val="Caption"/>
      </w:pPr>
      <w:r>
        <w:t>Fuentes: R02, R03, R05, R07, M02. URLs en REFERENCIAS.md.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2494" w:right="1152" w:bottom="1008" w:left="1152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Fira Sans" w:hAnsi="Fira Sans"/>
        <w:color w:val="264C6E"/>
        <w:sz w:val="16"/>
      </w:rPr>
      <w:t>AGROINT · Taller para Administración Agroindustrial UTN · agroint.co.cr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440000" cy="498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lor_0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498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Fira Sans" w:hAnsi="Fira Sans"/>
      <w:color w:val="263B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Fira Sans" w:hAnsi="Fira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Fira Sans" w:hAnsi="Fira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Fira Sans" w:hAnsi="Fira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4" w:lineRule="auto"/>
      <w:outlineLvl w:val="0"/>
    </w:pPr>
    <w:rPr>
      <w:rFonts w:asciiTheme="majorHAnsi" w:eastAsiaTheme="majorEastAsia" w:hAnsiTheme="majorHAnsi" w:cstheme="majorBidi" w:ascii="Fira Sans" w:hAnsi="Fira Sans"/>
      <w:b/>
      <w:bCs/>
      <w:color w:val="264C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4" w:lineRule="auto"/>
      <w:outlineLvl w:val="1"/>
    </w:pPr>
    <w:rPr>
      <w:rFonts w:asciiTheme="majorHAnsi" w:eastAsiaTheme="majorEastAsia" w:hAnsiTheme="majorHAnsi" w:cstheme="majorBidi" w:ascii="Fira Sans" w:hAnsi="Fira Sans"/>
      <w:b/>
      <w:bCs/>
      <w:color w:val="264C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Fira Sans" w:hAnsi="Fira Sans"/>
      <w:b/>
      <w:bCs/>
      <w:color w:val="264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Fira Sans" w:hAnsi="Fira Sans"/>
    </w:rPr>
  </w:style>
  <w:style w:type="table" w:default="1" w:styleId="TableNormal">
    <w:name w:val="Normal Table"/>
    <w:uiPriority w:val="99"/>
    <w:semiHidden/>
    <w:unhideWhenUsed/>
    <w:rPr>
      <w:rFonts w:ascii="Fira Sans" w:hAnsi="Fira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Fira Sans" w:hAnsi="Fira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Fira Sans" w:hAnsi="Fira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Theme="majorHAnsi" w:eastAsiaTheme="majorEastAsia" w:hAnsiTheme="majorHAnsi" w:cstheme="majorBidi" w:ascii="Fira Sans" w:hAnsi="Fira Sans"/>
      <w:color w:val="264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Fira Sans" w:hAnsi="Fira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Fira Sans" w:hAnsi="Fira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Fira Sans" w:hAnsi="Fira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Fira Sans" w:hAnsi="Fira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Fira Sans" w:hAnsi="Fira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Fira Sans" w:hAnsi="Fira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Fira Sans" w:hAnsi="Fira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Fira Sans" w:hAnsi="Fira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Fira Sans" w:hAnsi="Fira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Fira Sans" w:hAnsi="Fira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Fira Sans" w:hAnsi="Fira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Fira Sans" w:hAnsi="Fira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Fira Sans" w:hAnsi="Fira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Fira Sans" w:hAnsi="Fira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Fira Sans" w:hAnsi="Fira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Fira Sans" w:hAnsi="Fira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Fira Sans" w:hAnsi="Fira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Fira Sans" w:hAnsi="Fira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Fira Sans" w:hAnsi="Fira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Fira Sans" w:hAnsi="Fira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Fira Sans" w:hAnsi="Fira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Fira Sans" w:hAnsi="Fira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Fira Sans" w:hAnsi="Fira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Fira Sans" w:hAnsi="Fira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Fira Sans" w:hAnsi="Fira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Fira Sans" w:hAnsi="Fira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Fira Sans" w:hAnsi="Fira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Fira Sans" w:hAnsi="Fira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Fira Sans" w:hAnsi="Fira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Fira Sans" w:hAnsi="Fira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Fira Sans" w:hAnsi="Fira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Fira Sans" w:hAnsi="Fira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Fira Sans" w:hAnsi="Fira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Fira Sans" w:hAnsi="Fira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Fira Sans" w:hAnsi="Fira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Fira Sans" w:hAnsi="Fira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Fira Sans" w:hAnsi="Fira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Fira Sans" w:hAnsi="Fira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Fira Sans" w:hAnsi="Fira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Fira Sans" w:hAnsi="Fira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Fira Sans" w:hAnsi="Fira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Fira Sans" w:hAnsi="Fira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Fira Sans" w:hAnsi="Fira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