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verificación</w:t>
      </w:r>
    </w:p>
    <w:p>
      <w:r>
        <w:t>Entrega documental · 18 octubre 2026</w:t>
      </w:r>
    </w:p>
    <w:p>
      <w:pPr>
        <w:pStyle w:val="Heading1"/>
      </w:pPr>
      <w:r>
        <w:t>Alcance y estado</w:t>
      </w:r>
    </w:p>
    <w:p>
      <w:r>
        <w:t>El paquete contiene una presentación de 21 diapositivas, afiches editables y de distribución, programa de 120 minutos, guion operativo, tres guías, propuesta de 40 horas, referencias, fuentes y sitio estático. La producción documental no sustituye la ejecución de las aplicaciones Pix4D.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264C6E"/>
          </w:tcPr>
          <w:p>
            <w:pPr>
              <w:spacing w:after="100"/>
            </w:pPr>
            <w:r>
              <w:rPr>
                <w:rFonts w:ascii="Fira Sans" w:hAnsi="Fira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68"/>
            <w:shd w:fill="264C6E"/>
          </w:tcPr>
          <w:p>
            <w:pPr>
              <w:spacing w:after="100"/>
            </w:pPr>
            <w:r>
              <w:rPr>
                <w:rFonts w:ascii="Fira Sans" w:hAnsi="Fira Sans"/>
                <w:b/>
                <w:color w:val="FFFFFF"/>
                <w:sz w:val="18"/>
              </w:rPr>
              <w:t>Estado y comprobación</w:t>
            </w:r>
          </w:p>
        </w:tc>
      </w:tr>
      <w:tr>
        <w:trPr>
          <w:cantSplit/>
        </w:trPr>
        <w:tc>
          <w:tcPr>
            <w:tcW w:type="dxa" w:w="4968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Coherencia académica</w:t>
            </w:r>
          </w:p>
        </w:tc>
        <w:tc>
          <w:tcPr>
            <w:tcW w:type="dxa" w:w="4968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120 minutos; 21 diapositivas. Curso propuesto 40 horas: 10 teoría y 30 práctica. Evaluación propuesta suma 100 %. Orientación a decisiones de gestión.</w:t>
            </w:r>
          </w:p>
        </w:tc>
      </w:tr>
      <w:tr>
        <w:trPr>
          <w:cantSplit/>
        </w:trPr>
        <w:tc>
          <w:tcPr>
            <w:tcW w:type="dxa" w:w="4968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Fuentes</w:t>
            </w:r>
          </w:p>
        </w:tc>
        <w:tc>
          <w:tcPr>
            <w:tcW w:type="dxa" w:w="4968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26 referencias y cuatro manuales aportados identificados. Sin redistribución de manuales o datasets originales. Vistas públicas oficiales con crédito.</w:t>
            </w:r>
          </w:p>
        </w:tc>
      </w:tr>
      <w:tr>
        <w:trPr>
          <w:cantSplit/>
        </w:trPr>
        <w:tc>
          <w:tcPr>
            <w:tcW w:type="dxa" w:w="4968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Archivos</w:t>
            </w:r>
          </w:p>
        </w:tc>
        <w:tc>
          <w:tcPr>
            <w:tcW w:type="dxa" w:w="4968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PPTX con texto editable y notas; DOCX editables; PDF y PNG. Exportación y revisión gráfica documentadas en control-calidad.json.</w:t>
            </w:r>
          </w:p>
        </w:tc>
      </w:tr>
      <w:tr>
        <w:trPr>
          <w:cantSplit/>
        </w:trPr>
        <w:tc>
          <w:tcPr>
            <w:tcW w:type="dxa" w:w="4968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Ejercicios</w:t>
            </w:r>
          </w:p>
        </w:tc>
        <w:tc>
          <w:tcPr>
            <w:tcW w:type="dxa" w:w="4968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Guías documentales listas. Descarga, apertura, procesamiento, informes y ensayo nativo pendientes. No existen resultados calculados por esta producción.</w:t>
            </w:r>
          </w:p>
        </w:tc>
      </w:tr>
      <w:tr>
        <w:trPr>
          <w:cantSplit/>
        </w:trPr>
        <w:tc>
          <w:tcPr>
            <w:tcW w:type="dxa" w:w="4968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Identidad</w:t>
            </w:r>
          </w:p>
        </w:tc>
        <w:tc>
          <w:tcPr>
            <w:tcW w:type="dxa" w:w="4968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Sin logotipo UTN ni fechas, nombres o inscripciones inventadas. Campos del afiche editables.</w:t>
            </w:r>
          </w:p>
        </w:tc>
      </w:tr>
      <w:tr>
        <w:trPr>
          <w:cantSplit/>
        </w:trPr>
        <w:tc>
          <w:tcPr>
            <w:tcW w:type="dxa" w:w="4968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Curso y presupuesto</w:t>
            </w:r>
          </w:p>
        </w:tc>
        <w:tc>
          <w:tcPr>
            <w:tcW w:type="dxa" w:w="4968"/>
            <w:shd w:fill="FFFFFF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Propuesta pendiente de validación. Presupuesto es simulación CRC: base 2560800 más licencias, cargos institucionales e impuestos/seguros por cotizar.</w:t>
            </w:r>
          </w:p>
        </w:tc>
      </w:tr>
      <w:tr>
        <w:trPr>
          <w:cantSplit/>
        </w:trPr>
        <w:tc>
          <w:tcPr>
            <w:tcW w:type="dxa" w:w="4968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Publicación</w:t>
            </w:r>
          </w:p>
        </w:tc>
        <w:tc>
          <w:tcPr>
            <w:tcW w:type="dxa" w:w="4968"/>
            <w:shd w:fill="F5F5F5"/>
          </w:tcPr>
          <w:p>
            <w:pPr>
              <w:spacing w:after="100"/>
            </w:pPr>
            <w:r>
              <w:rPr>
                <w:rFonts w:ascii="Fira Sans" w:hAnsi="Fira Sans"/>
                <w:color w:val="263B48"/>
                <w:sz w:val="18"/>
              </w:rPr>
              <w:t>La evidencia de publicación y descargas se actualiza en PUBLICACION.md. No inferir publicación de una copia local.</w:t>
            </w:r>
          </w:p>
        </w:tc>
      </w:tr>
    </w:tbl>
    <w:p/>
    <w:p>
      <w:pPr>
        <w:pStyle w:val="Heading1"/>
      </w:pPr>
      <w:r>
        <w:t>Condiciones antes de impartir</w:t>
      </w:r>
    </w:p>
    <w:p>
      <w:r>
        <w:t>Confirmar autorización institucional y logística. Completar registros de ejecución: licencia, versión, datos, CRS, tiempo, productos y capturas. Ensayar 30 minutos Matic, 30 índices y 15 Magic. Verificar exportaciones con licencia y receptor. Sin ensayo, usar la alternativa documental y declararla.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2494" w:right="1152" w:bottom="1008" w:left="1152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Fira Sans" w:hAnsi="Fira Sans"/>
        <w:color w:val="264C6E"/>
        <w:sz w:val="16"/>
      </w:rPr>
      <w:t>AGROINT · Taller para Administración Agroindustrial UTN · agroint.co.cr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498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_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98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Fira Sans" w:hAnsi="Fira Sans"/>
      <w:color w:val="26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Fira Sans" w:hAnsi="Fira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Fira Sans" w:hAnsi="Fir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Fira Sans" w:hAnsi="Fira Sans"/>
      <w:b/>
      <w:bCs/>
      <w:color w:val="264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Fira Sans" w:hAnsi="Fira Sans"/>
      <w:b/>
      <w:bCs/>
      <w:color w:val="264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ira Sans" w:hAnsi="Fira Sans"/>
      <w:b/>
      <w:bCs/>
      <w:color w:val="264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Fira Sans" w:hAnsi="Fira Sans"/>
    </w:rPr>
  </w:style>
  <w:style w:type="table" w:default="1" w:styleId="TableNormal">
    <w:name w:val="Normal Table"/>
    <w:uiPriority w:val="99"/>
    <w:semiHidden/>
    <w:unhideWhenUsed/>
    <w:rPr>
      <w:rFonts w:ascii="Fira Sans" w:hAnsi="Fira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Fira Sans" w:hAnsi="Fira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Fira Sans" w:hAnsi="Fira Sans"/>
      <w:color w:val="264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Fira Sans" w:hAnsi="Fira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ira Sans" w:hAnsi="Fira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Fira Sans" w:hAnsi="Fira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Fira Sans" w:hAnsi="Fira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Fira Sans" w:hAnsi="Fira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Fira Sans" w:hAnsi="Fira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Fira Sans" w:hAnsi="Fira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Fira Sans" w:hAnsi="Fira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Fira Sans" w:hAnsi="Fira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Fira Sans" w:hAnsi="Fira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Fira Sans" w:hAnsi="Fira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Fira Sans" w:hAnsi="Fira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Fira Sans" w:hAnsi="Fira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Fira Sans" w:hAnsi="Fira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Fira Sans" w:hAnsi="Fira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Fira Sans" w:hAnsi="Fira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Fira Sans" w:hAnsi="Fira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Fira Sans" w:hAnsi="Fira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ira Sans" w:hAnsi="Fira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ira Sans" w:hAnsi="Fira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Fira Sans" w:hAnsi="Fira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Fira Sans" w:hAnsi="Fira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Fira Sans" w:hAnsi="Fira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Fira Sans" w:hAnsi="Fira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Fira Sans" w:hAnsi="Fira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Fira Sans" w:hAnsi="Fira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Fira Sans" w:hAnsi="Fira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Fira Sans" w:hAnsi="Fira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Fira Sans" w:hAnsi="Fira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Fira Sans" w:hAnsi="Fira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