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Programa del taller</w:t>
      </w:r>
    </w:p>
    <w:p>
      <w:r>
        <w:t>Drones y agricultura de precisión · 120 minutos · Modalidad demostrativa</w:t>
      </w:r>
    </w:p>
    <w:p>
      <w:r>
        <w:t>Población: estudiantes de Administración Agroindustrial de la Universidad Técnica Nacional, Costa Rica. Objetivo: relacionar productos geoespaciales, controles y decisiones de gestión. El taller no forma operadores especializados ni autoriza prescripciones.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264C6E"/>
          </w:tcPr>
          <w:p>
            <w:pPr>
              <w:spacing w:after="100"/>
            </w:pPr>
            <w:r>
              <w:rPr>
                <w:rFonts w:ascii="Fira Sans" w:hAnsi="Fira Sans"/>
                <w:b/>
                <w:color w:val="FFFFFF"/>
                <w:sz w:val="18"/>
              </w:rPr>
              <w:t>Minutos</w:t>
            </w:r>
          </w:p>
        </w:tc>
        <w:tc>
          <w:tcPr>
            <w:tcW w:type="dxa" w:w="3312"/>
            <w:shd w:fill="264C6E"/>
          </w:tcPr>
          <w:p>
            <w:pPr>
              <w:spacing w:after="100"/>
            </w:pPr>
            <w:r>
              <w:rPr>
                <w:rFonts w:ascii="Fira Sans" w:hAnsi="Fira San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312"/>
            <w:shd w:fill="264C6E"/>
          </w:tcPr>
          <w:p>
            <w:pPr>
              <w:spacing w:after="100"/>
            </w:pPr>
            <w:r>
              <w:rPr>
                <w:rFonts w:ascii="Fira Sans" w:hAnsi="Fira Sans"/>
                <w:b/>
                <w:color w:val="FFFFFF"/>
                <w:sz w:val="18"/>
              </w:rPr>
              <w:t>Diapositivas</w:t>
            </w:r>
          </w:p>
        </w:tc>
      </w:tr>
      <w:tr>
        <w:trPr>
          <w:cantSplit/>
        </w:trPr>
        <w:tc>
          <w:tcPr>
            <w:tcW w:type="dxa" w:w="3312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0 a 15</w:t>
            </w:r>
          </w:p>
        </w:tc>
        <w:tc>
          <w:tcPr>
            <w:tcW w:type="dxa" w:w="3312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Aplicaciones de drones en la agroindustria</w:t>
            </w:r>
          </w:p>
        </w:tc>
        <w:tc>
          <w:tcPr>
            <w:tcW w:type="dxa" w:w="3312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1 a 3</w:t>
            </w:r>
          </w:p>
        </w:tc>
      </w:tr>
      <w:tr>
        <w:trPr>
          <w:cantSplit/>
        </w:trPr>
        <w:tc>
          <w:tcPr>
            <w:tcW w:type="dxa" w:w="3312"/>
            <w:shd w:fill="FFFFFF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15 a 30</w:t>
            </w:r>
          </w:p>
        </w:tc>
        <w:tc>
          <w:tcPr>
            <w:tcW w:type="dxa" w:w="3312"/>
            <w:shd w:fill="FFFFFF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Sensores y planificación</w:t>
            </w:r>
          </w:p>
        </w:tc>
        <w:tc>
          <w:tcPr>
            <w:tcW w:type="dxa" w:w="3312"/>
            <w:shd w:fill="FFFFFF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4 a 6</w:t>
            </w:r>
          </w:p>
        </w:tc>
      </w:tr>
      <w:tr>
        <w:trPr>
          <w:cantSplit/>
        </w:trPr>
        <w:tc>
          <w:tcPr>
            <w:tcW w:type="dxa" w:w="3312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30 a 60</w:t>
            </w:r>
          </w:p>
        </w:tc>
        <w:tc>
          <w:tcPr>
            <w:tcW w:type="dxa" w:w="3312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Demostración PIX4Dmatic Pro</w:t>
            </w:r>
          </w:p>
        </w:tc>
        <w:tc>
          <w:tcPr>
            <w:tcW w:type="dxa" w:w="3312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7 a 11</w:t>
            </w:r>
          </w:p>
        </w:tc>
      </w:tr>
      <w:tr>
        <w:trPr>
          <w:cantSplit/>
        </w:trPr>
        <w:tc>
          <w:tcPr>
            <w:tcW w:type="dxa" w:w="3312"/>
            <w:shd w:fill="FFFFFF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60 a 90</w:t>
            </w:r>
          </w:p>
        </w:tc>
        <w:tc>
          <w:tcPr>
            <w:tcW w:type="dxa" w:w="3312"/>
            <w:shd w:fill="FFFFFF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PIX4Dfields con NDVI y NDRE</w:t>
            </w:r>
          </w:p>
        </w:tc>
        <w:tc>
          <w:tcPr>
            <w:tcW w:type="dxa" w:w="3312"/>
            <w:shd w:fill="FFFFFF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12 a 15</w:t>
            </w:r>
          </w:p>
        </w:tc>
      </w:tr>
      <w:tr>
        <w:trPr>
          <w:cantSplit/>
        </w:trPr>
        <w:tc>
          <w:tcPr>
            <w:tcW w:type="dxa" w:w="3312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90 a 105</w:t>
            </w:r>
          </w:p>
        </w:tc>
        <w:tc>
          <w:tcPr>
            <w:tcW w:type="dxa" w:w="3312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Malezas y Magic Tool</w:t>
            </w:r>
          </w:p>
        </w:tc>
        <w:tc>
          <w:tcPr>
            <w:tcW w:type="dxa" w:w="3312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16 a 18</w:t>
            </w:r>
          </w:p>
        </w:tc>
      </w:tr>
      <w:tr>
        <w:trPr>
          <w:cantSplit/>
        </w:trPr>
        <w:tc>
          <w:tcPr>
            <w:tcW w:type="dxa" w:w="3312"/>
            <w:shd w:fill="FFFFFF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105 a 115</w:t>
            </w:r>
          </w:p>
        </w:tc>
        <w:tc>
          <w:tcPr>
            <w:tcW w:type="dxa" w:w="3312"/>
            <w:shd w:fill="FFFFFF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Aplicaciones empresariales y decisiones</w:t>
            </w:r>
          </w:p>
        </w:tc>
        <w:tc>
          <w:tcPr>
            <w:tcW w:type="dxa" w:w="3312"/>
            <w:shd w:fill="FFFFFF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3312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115 a 120</w:t>
            </w:r>
          </w:p>
        </w:tc>
        <w:tc>
          <w:tcPr>
            <w:tcW w:type="dxa" w:w="3312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Propuesta académica y cierre</w:t>
            </w:r>
          </w:p>
        </w:tc>
        <w:tc>
          <w:tcPr>
            <w:tcW w:type="dxa" w:w="3312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20 y 21</w:t>
            </w:r>
          </w:p>
        </w:tc>
      </w:tr>
    </w:tbl>
    <w:p/>
    <w:p>
      <w:pPr>
        <w:pStyle w:val="Heading1"/>
      </w:pPr>
      <w:r>
        <w:t>Condiciones para impartirlo</w:t>
      </w:r>
    </w:p>
    <w:p>
      <w:r>
        <w:t>Usar proyectos previamente procesados y ensayados. Si faltan, impartir la alternativa documental identificada en el guion. No iniciar procesamiento completo en aula. Se conserva la distribución solicitada por la UTN: 15 + 15 + 30 + 30 + 15 + 10 + 5 = 120 minutos.</w:t>
      </w:r>
    </w:p>
    <w:p>
      <w:r>
        <w:t>Fecha, hora, lugar, inscripción y expositor: por confirmar. Programa de trabajo; no constituye aprobación institucional.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2494" w:right="1152" w:bottom="1008" w:left="1152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Fira Sans" w:hAnsi="Fira Sans"/>
        <w:color w:val="264C6E"/>
        <w:sz w:val="16"/>
      </w:rPr>
      <w:t>AGROINT · Taller para Administración Agroindustrial UTN · agroint.co.cr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40000" cy="498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lor_0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498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Fira Sans" w:hAnsi="Fira Sans"/>
      <w:color w:val="263B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Fira Sans" w:hAnsi="Fira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Fira Sans" w:hAnsi="Fira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4" w:lineRule="auto"/>
      <w:outlineLvl w:val="0"/>
    </w:pPr>
    <w:rPr>
      <w:rFonts w:asciiTheme="majorHAnsi" w:eastAsiaTheme="majorEastAsia" w:hAnsiTheme="majorHAnsi" w:cstheme="majorBidi" w:ascii="Fira Sans" w:hAnsi="Fira Sans"/>
      <w:b/>
      <w:bCs/>
      <w:color w:val="264C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4" w:lineRule="auto"/>
      <w:outlineLvl w:val="1"/>
    </w:pPr>
    <w:rPr>
      <w:rFonts w:asciiTheme="majorHAnsi" w:eastAsiaTheme="majorEastAsia" w:hAnsiTheme="majorHAnsi" w:cstheme="majorBidi" w:ascii="Fira Sans" w:hAnsi="Fira Sans"/>
      <w:b/>
      <w:bCs/>
      <w:color w:val="264C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Fira Sans" w:hAnsi="Fira Sans"/>
      <w:b/>
      <w:bCs/>
      <w:color w:val="264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Fira Sans" w:hAnsi="Fira Sans"/>
    </w:rPr>
  </w:style>
  <w:style w:type="table" w:default="1" w:styleId="TableNormal">
    <w:name w:val="Normal Table"/>
    <w:uiPriority w:val="99"/>
    <w:semiHidden/>
    <w:unhideWhenUsed/>
    <w:rPr>
      <w:rFonts w:ascii="Fira Sans" w:hAnsi="Fira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Fira Sans" w:hAnsi="Fira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Theme="majorHAnsi" w:eastAsiaTheme="majorEastAsia" w:hAnsiTheme="majorHAnsi" w:cstheme="majorBidi" w:ascii="Fira Sans" w:hAnsi="Fira Sans"/>
      <w:color w:val="264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Fira Sans" w:hAnsi="Fira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Fira Sans" w:hAnsi="Fira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Fira Sans" w:hAnsi="Fira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Fira Sans" w:hAnsi="Fira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Fira Sans" w:hAnsi="Fira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Fira Sans" w:hAnsi="Fira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Fira Sans" w:hAnsi="Fira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Fira Sans" w:hAnsi="Fira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Fira Sans" w:hAnsi="Fira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Fira Sans" w:hAnsi="Fira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Fira Sans" w:hAnsi="Fira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Fira Sans" w:hAnsi="Fira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Fira Sans" w:hAnsi="Fira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Fira Sans" w:hAnsi="Fira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Fira Sans" w:hAnsi="Fira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Fira Sans" w:hAnsi="Fira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Fira Sans" w:hAnsi="Fira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Fira Sans" w:hAnsi="Fira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Fira Sans" w:hAnsi="Fira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Fira Sans" w:hAnsi="Fira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Fira Sans" w:hAnsi="Fira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Fira Sans" w:hAnsi="Fira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Fira Sans" w:hAnsi="Fira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Fira Sans" w:hAnsi="Fira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Fira Sans" w:hAnsi="Fira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Fira Sans" w:hAnsi="Fira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Fira Sans" w:hAnsi="Fira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Fira Sans" w:hAnsi="Fira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Fira Sans" w:hAnsi="Fira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Fira Sans" w:hAnsi="Fira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Fira Sans" w:hAnsi="Fira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Fira Sans" w:hAnsi="Fira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Fira Sans" w:hAnsi="Fira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Fira Sans" w:hAnsi="Fira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