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E1 · Índices de vegetación</w:t>
      </w:r>
    </w:p>
    <w:p>
      <w:r>
        <w:t>Field trial · Ejemplo oficial de capacitación</w:t>
      </w:r>
    </w:p>
    <w:p>
      <w:pPr>
        <w:pStyle w:val="Heading1"/>
      </w:pPr>
      <w:r>
        <w:t>1. Origen del ensayo</w:t>
      </w:r>
    </w:p>
    <w:p>
      <w:r>
        <w:t>Field trial del cuaderno M01, páginas PDF 318 a 333. Trigo de invierno en Alemania, Parrot Bluegrass con Sequoia, 1328 imágenes a 50 m, GSD 5.1 cm y aproximadamente 1 ha. Son datos del caso oficial.</w:t>
      </w:r>
    </w:p>
    <w:p>
      <w:pPr>
        <w:pStyle w:val="Heading2"/>
      </w:pPr>
      <w:r>
        <w:t>Acceso</w:t>
      </w:r>
    </w:p>
    <w:p>
      <w:r>
        <w:t>Enlace original de página 319, conservado en datos.json. Usar cuenta autorizada si el curso lo requiere.</w:t>
      </w:r>
    </w:p>
    <w:p>
      <w:pPr>
        <w:pStyle w:val="Heading2"/>
      </w:pPr>
      <w:r>
        <w:t>Contenido</w:t>
      </w:r>
    </w:p>
    <w:p>
      <w:r>
        <w:t>Dataset/Images, Geometry_Files, PIX4Dfields_Project_Files y PDF_Report_Field_Trial.pdf. Comprobar nombres en el paquete descargado.</w:t>
      </w:r>
    </w:p>
    <w:p>
      <w:pPr>
        <w:pStyle w:val="Heading2"/>
      </w:pPr>
      <w:r>
        <w:t>Separación</w:t>
      </w:r>
    </w:p>
    <w:p>
      <w:r>
        <w:t>El ejemplo público Rostock y la ficha Winter wheat son otros conjuntos. No atribuir sus cámaras, áreas o resultados a este ensayo.</w:t>
      </w:r>
    </w:p>
    <w:p>
      <w:pPr>
        <w:pStyle w:val="Heading2"/>
      </w:pPr>
      <w:r>
        <w:t>Estado</w:t>
      </w:r>
    </w:p>
    <w:p>
      <w:r>
        <w:t>No se descargó ni abrió el proyecto nativo del ensayo en esta producción. No se incluyen estadísticas inventadas ni capturas del caso obtenidas de un manual restringido.</w:t>
      </w:r>
    </w:p>
    <w:p>
      <w:pPr>
        <w:pStyle w:val="Caption"/>
      </w:pPr>
      <w:r>
        <w:t>Fuentes: M01 pp. 318–333; R06, R09, R10, R13. URLs en REFERENCIAS.md.</w:t>
      </w:r>
    </w:p>
    <w:p>
      <w:r>
        <w:br w:type="page"/>
      </w:r>
    </w:p>
    <w:p>
      <w:pPr>
        <w:pStyle w:val="Heading1"/>
      </w:pPr>
      <w:r>
        <w:t>2. Apertura y preparación</w:t>
      </w:r>
    </w:p>
    <w:p>
      <w:r>
        <w:t>Procesar antes de la clase. Conservar originales y copia de trabajo.</w:t>
      </w:r>
    </w:p>
    <w:p>
      <w:pPr>
        <w:pStyle w:val="Heading2"/>
      </w:pPr>
      <w:r>
        <w:t>1 Carpeta</w:t>
      </w:r>
    </w:p>
    <w:p>
      <w:r>
        <w:t>Extraer en C:/UTN_Drones/FIELDS/Field_trial. Registrar hash y archivos y conservar ZIP fuera de GitHub.</w:t>
      </w:r>
    </w:p>
    <w:p>
      <w:pPr>
        <w:pStyle w:val="Heading2"/>
      </w:pPr>
      <w:r>
        <w:t>2 Versión</w:t>
      </w:r>
    </w:p>
    <w:p>
      <w:r>
        <w:t>Registrar versión y licencia. La referencia documental es 2.13.5, no una instalación comprobada.</w:t>
      </w:r>
    </w:p>
    <w:p>
      <w:pPr>
        <w:pStyle w:val="Heading2"/>
      </w:pPr>
      <w:r>
        <w:t>3 Importar</w:t>
      </w:r>
    </w:p>
    <w:p>
      <w:r>
        <w:t>Abrir P4F del paquete con Fields cerrado si corresponde. Confirmar importación y panel de proyectos. Para paquetes P4Z vigentes, seguir Settings e Import projects según documentación.</w:t>
      </w:r>
    </w:p>
    <w:p>
      <w:pPr>
        <w:pStyle w:val="Heading2"/>
      </w:pPr>
      <w:r>
        <w:t>4 Datos</w:t>
      </w:r>
    </w:p>
    <w:p>
      <w:r>
        <w:t>Abrir capa multiespectral y comprobar fecha y bandas. Para reprocesar, usar Accurate, corrección radiométrica y panel del caso. No esperar ese cálculo durante la sesión.</w:t>
      </w:r>
    </w:p>
    <w:p>
      <w:pPr>
        <w:pStyle w:val="Caption"/>
      </w:pPr>
      <w:r>
        <w:t>Fuentes: M01 pp. 318–333; R06, R09, R10, R13. URLs en REFERENCIAS.md.</w:t>
      </w:r>
    </w:p>
    <w:p>
      <w:r>
        <w:br w:type="page"/>
      </w:r>
    </w:p>
    <w:p>
      <w:pPr>
        <w:pStyle w:val="Heading1"/>
      </w:pPr>
      <w:r>
        <w:t>3. Parcelas e índices</w:t>
      </w:r>
    </w:p>
    <w:p>
      <w:r>
        <w:t>Comparar unidades espaciales equivalentes.</w:t>
      </w:r>
    </w:p>
    <w:p>
      <w:pPr>
        <w:pStyle w:val="Heading2"/>
      </w:pPr>
      <w:r>
        <w:t>5 Límite</w:t>
      </w:r>
    </w:p>
    <w:p>
      <w:r>
        <w:t>En Boundaries importar desde Geometry_Files. Revisar CRS, ubicación y extensión antes de recortar.</w:t>
      </w:r>
    </w:p>
    <w:p>
      <w:pPr>
        <w:pStyle w:val="Heading2"/>
      </w:pPr>
      <w:r>
        <w:t>6 Parcelas</w:t>
      </w:r>
    </w:p>
    <w:p>
      <w:r>
        <w:t>Importar geometría como anotaciones de área cuando corresponda, conservando identificadores. Límite de campo y parcela tienen funciones distintas.</w:t>
      </w:r>
    </w:p>
    <w:p>
      <w:pPr>
        <w:pStyle w:val="Heading2"/>
      </w:pPr>
      <w:r>
        <w:t>7 NDVI</w:t>
      </w:r>
    </w:p>
    <w:p>
      <w:r>
        <w:t>En Index seleccionar la capa multiespectral, elegir NDVI y Generate. Fórmula: (NIR - Red) / (NIR + Red).</w:t>
      </w:r>
    </w:p>
    <w:p>
      <w:pPr>
        <w:pStyle w:val="Heading2"/>
      </w:pPr>
      <w:r>
        <w:t>8 NDRE</w:t>
      </w:r>
    </w:p>
    <w:p>
      <w:r>
        <w:t>Elegir NDRE o crear índice personalizado: (nir - rededge) / (nir + rededge). Verificar bandas. Excluir NoData y denominador nulo. Índices sin unidades, rango teórico de menos uno a uno con reflectancias no negativas.</w:t>
      </w:r>
    </w:p>
    <w:p>
      <w:pPr>
        <w:pStyle w:val="Caption"/>
      </w:pPr>
      <w:r>
        <w:t>Fuentes: M01 pp. 318–333; R06, R09, R10, R13. URLs en REFERENCIAS.md.</w:t>
      </w:r>
    </w:p>
    <w:p>
      <w:r>
        <w:br w:type="page"/>
      </w:r>
    </w:p>
    <w:p>
      <w:pPr>
        <w:pStyle w:val="Heading1"/>
      </w:pPr>
      <w:r>
        <w:t>4. Comparación y estadísticas</w:t>
      </w:r>
    </w:p>
    <w:p>
      <w:r>
        <w:t>Una paleta cambia presentación, no valores.</w:t>
      </w:r>
    </w:p>
    <w:p>
      <w:pPr>
        <w:pStyle w:val="Heading2"/>
      </w:pPr>
      <w:r>
        <w:t>9 Comparar</w:t>
      </w:r>
    </w:p>
    <w:p>
      <w:r>
        <w:t>Usar Comparison o alternar capas sobre las mismas parcelas. Para comparar fechas del mismo índice, mantener rango y condiciones equivalentes. No intercambiar umbrales de NDVI y NDRE.</w:t>
      </w:r>
    </w:p>
    <w:p>
      <w:pPr>
        <w:pStyle w:val="Heading2"/>
      </w:pPr>
      <w:r>
        <w:t>10 Parcela</w:t>
      </w:r>
    </w:p>
    <w:p>
      <w:r>
        <w:t>Consultar anotaciones. Registrar media, dispersión y cobertura si están disponibles. Comprobar píxeles válidos y máscara.</w:t>
      </w:r>
    </w:p>
    <w:p>
      <w:pPr>
        <w:pStyle w:val="Heading2"/>
      </w:pPr>
      <w:r>
        <w:t>11 CSV</w:t>
      </w:r>
    </w:p>
    <w:p>
      <w:r>
        <w:t>Export y Statistics. Seleccionar capas, anotaciones, separador decimal y destino. Revisar annotation-statistics y layer-statistics. El intervalo visible puede diferir de la parcela completa.</w:t>
      </w:r>
    </w:p>
    <w:p>
      <w:pPr>
        <w:pStyle w:val="Heading2"/>
      </w:pPr>
      <w:r>
        <w:t>12 Raster</w:t>
      </w:r>
    </w:p>
    <w:p>
      <w:r>
        <w:t>Guardar DATA.TIF numérico y representación de color separada. No calcular estadísticas desde una paleta RGB. Probar exportación con licencia comercial: la prueba la bloquea.</w:t>
      </w:r>
    </w:p>
    <w:p>
      <w:pPr>
        <w:pStyle w:val="Caption"/>
      </w:pPr>
      <w:r>
        <w:t>Fuentes: M01 pp. 318–333; R06, R09, R10, R13. URLs en REFERENCIAS.md.</w:t>
      </w:r>
    </w:p>
    <w:p>
      <w:r>
        <w:br w:type="page"/>
      </w:r>
    </w:p>
    <w:p>
      <w:pPr>
        <w:pStyle w:val="Heading1"/>
      </w:pPr>
      <w:r>
        <w:t>5. Interpretación y contingencia</w:t>
      </w:r>
    </w:p>
    <w:p>
      <w:r>
        <w:t>Cerrar con una decisión de inspección y su incertidumbre.</w:t>
      </w:r>
    </w:p>
    <w:p>
      <w:pPr>
        <w:pStyle w:val="Heading2"/>
      </w:pPr>
      <w:r>
        <w:t>13 Gestión</w:t>
      </w:r>
    </w:p>
    <w:p>
      <w:r>
        <w:t>Identificar parcelas contrastantes. Revisar fase, suelo visible, sombra, humedad y manejo previo. Los índices no dan automáticamente dosis ni rendimiento.</w:t>
      </w:r>
    </w:p>
    <w:p>
      <w:pPr>
        <w:pStyle w:val="Heading2"/>
      </w:pPr>
      <w:r>
        <w:t>14 Registro</w:t>
      </w:r>
    </w:p>
    <w:p>
      <w:r>
        <w:t>Guardar bandas, límites, comparación, CSV y rasters, configuración radiométrica y versión. No copiar cifras de otros conjuntos.</w:t>
      </w:r>
    </w:p>
    <w:p>
      <w:pPr>
        <w:pStyle w:val="Heading2"/>
      </w:pPr>
      <w:r>
        <w:t>15 Tiempo</w:t>
      </w:r>
    </w:p>
    <w:p>
      <w:r>
        <w:t>Apertura 3 min, conceptos 6, parcelas e índices 9, estadística y exportación 7, interpretación 5. Total 30.</w:t>
      </w:r>
    </w:p>
    <w:p>
      <w:pPr>
        <w:pStyle w:val="Heading2"/>
      </w:pPr>
      <w:r>
        <w:t>Alternativa</w:t>
      </w:r>
    </w:p>
    <w:p>
      <w:r>
        <w:t>Declarar cualquier cambio a Rostock. Usar simulador de fórmulas para números ficticios, sin atribuirlos a parcelas reales.</w:t>
      </w:r>
    </w:p>
    <w:p>
      <w:pPr>
        <w:pStyle w:val="Caption"/>
      </w:pPr>
      <w:r>
        <w:t>Fuentes: M01 pp. 318–333; R06, R09, R10, R13. URLs en REFERENCIAS.md.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2494" w:right="1152" w:bottom="1008" w:left="1152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Fira Sans" w:hAnsi="Fira Sans"/>
        <w:color w:val="264C6E"/>
        <w:sz w:val="16"/>
      </w:rPr>
      <w:t>AGROINT · Taller para Administración Agroindustrial UTN · agroint.co.cr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40000" cy="498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lor_0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498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Fira Sans" w:hAnsi="Fira Sans"/>
      <w:color w:val="263B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Fira Sans" w:hAnsi="Fira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Fira Sans" w:hAnsi="Fira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Fira Sans" w:hAnsi="Fira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Fira Sans" w:hAnsi="Fira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4" w:lineRule="auto"/>
      <w:outlineLvl w:val="0"/>
    </w:pPr>
    <w:rPr>
      <w:rFonts w:asciiTheme="majorHAnsi" w:eastAsiaTheme="majorEastAsia" w:hAnsiTheme="majorHAnsi" w:cstheme="majorBidi" w:ascii="Fira Sans" w:hAnsi="Fira Sans"/>
      <w:b/>
      <w:bCs/>
      <w:color w:val="264C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4" w:lineRule="auto"/>
      <w:outlineLvl w:val="1"/>
    </w:pPr>
    <w:rPr>
      <w:rFonts w:asciiTheme="majorHAnsi" w:eastAsiaTheme="majorEastAsia" w:hAnsiTheme="majorHAnsi" w:cstheme="majorBidi" w:ascii="Fira Sans" w:hAnsi="Fira Sans"/>
      <w:b/>
      <w:bCs/>
      <w:color w:val="264C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Fira Sans" w:hAnsi="Fira Sans"/>
      <w:b/>
      <w:bCs/>
      <w:color w:val="264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Fira Sans" w:hAnsi="Fira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Fira Sans" w:hAnsi="Fira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Fira Sans" w:hAnsi="Fira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Fira Sans" w:hAnsi="Fira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Fira Sans" w:hAnsi="Fira Sans"/>
    </w:rPr>
  </w:style>
  <w:style w:type="table" w:default="1" w:styleId="TableNormal">
    <w:name w:val="Normal Table"/>
    <w:uiPriority w:val="99"/>
    <w:semiHidden/>
    <w:unhideWhenUsed/>
    <w:rPr>
      <w:rFonts w:ascii="Fira Sans" w:hAnsi="Fira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Fira Sans" w:hAnsi="Fira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Theme="majorHAnsi" w:eastAsiaTheme="majorEastAsia" w:hAnsiTheme="majorHAnsi" w:cstheme="majorBidi" w:ascii="Fira Sans" w:hAnsi="Fira Sans"/>
      <w:color w:val="264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Fira Sans" w:hAnsi="Fira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Fira Sans" w:hAnsi="Fira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Fira Sans" w:hAnsi="Fira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Fira Sans" w:hAnsi="Fira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Fira Sans" w:hAnsi="Fira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Fira Sans" w:hAnsi="Fira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Fira Sans" w:hAnsi="Fira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Fira Sans" w:hAnsi="Fira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Fira Sans" w:hAnsi="Fira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Fira Sans" w:hAnsi="Fira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Fira Sans" w:hAnsi="Fira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Fira Sans" w:hAnsi="Fira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Fira Sans" w:hAnsi="Fira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Fira Sans" w:hAnsi="Fira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Fira Sans" w:hAnsi="Fira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Fira Sans" w:hAnsi="Fira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Fira Sans" w:hAnsi="Fira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Fira Sans" w:hAnsi="Fira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Fira Sans" w:hAnsi="Fira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Fira Sans" w:hAnsi="Fira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Fira Sans" w:hAnsi="Fira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Fira Sans" w:hAnsi="Fira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Fira Sans" w:hAnsi="Fira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Fira Sans" w:hAnsi="Fira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Fira Sans" w:hAnsi="Fira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Fira Sans" w:hAnsi="Fira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Fira Sans" w:hAnsi="Fira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Fira Sans" w:hAnsi="Fira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Fira Sans" w:hAnsi="Fira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Fira Sans" w:hAnsi="Fira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Fira Sans" w:hAnsi="Fira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Fira Sans" w:hAnsi="Fira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Fira Sans" w:hAnsi="Fira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Fira Sans" w:hAnsi="Fira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Fira Sans" w:hAnsi="Fira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Fira Sans" w:hAnsi="Fira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Fira Sans" w:hAnsi="Fira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Fira Sans" w:hAnsi="Fira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Fira Sans" w:hAnsi="Fira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Fira Sans" w:hAnsi="Fira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Fira Sans" w:hAnsi="Fira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