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E2 · Malezas y Magic Tool</w:t>
      </w:r>
    </w:p>
    <w:p>
      <w:r>
        <w:t>Targeted Operations · Ejemplo oficial de capacitación</w:t>
      </w:r>
    </w:p>
    <w:p>
      <w:pPr>
        <w:pStyle w:val="Heading1"/>
      </w:pPr>
      <w:r>
        <w:t>1. Origen de Targeted Operations</w:t>
      </w:r>
    </w:p>
    <w:p>
      <w:r>
        <w:t>M01, páginas PDF 300 a 317. Pastura australiana con zarzamora. XAG M500 RGB, 254 imágenes a 60 m, GSD 3.15 cm y aproximadamente 10 ha. Es diferente del ejemplo público Rumex con Mavic 3M.</w:t>
      </w:r>
    </w:p>
    <w:p>
      <w:pPr>
        <w:pStyle w:val="Heading2"/>
      </w:pPr>
      <w:r>
        <w:t>Acceso</w:t>
      </w:r>
    </w:p>
    <w:p>
      <w:r>
        <w:t>Enlace original de página 301 en datos.json o Exercise data de la matrícula del curso.</w:t>
      </w:r>
    </w:p>
    <w:p>
      <w:pPr>
        <w:pStyle w:val="Heading2"/>
      </w:pPr>
      <w:r>
        <w:t>Paquete</w:t>
      </w:r>
    </w:p>
    <w:p>
      <w:r>
        <w:t>Buscar Targeted Operations.p4f y boundaries_obstacles. No publicar manuales o conjuntos originales.</w:t>
      </w:r>
    </w:p>
    <w:p>
      <w:pPr>
        <w:pStyle w:val="Heading2"/>
      </w:pPr>
      <w:r>
        <w:t>Estado</w:t>
      </w:r>
    </w:p>
    <w:p>
      <w:r>
        <w:t>No se ejecutó una clasificación en esta producción. El diagrama de etiquetas es conceptual y no representa detecciones.</w:t>
      </w:r>
    </w:p>
    <w:p>
      <w:pPr>
        <w:pStyle w:val="Heading2"/>
      </w:pPr>
      <w:r>
        <w:t>Preparación</w:t>
      </w:r>
    </w:p>
    <w:p>
      <w:r>
        <w:t>Importar el proyecto, guardar copia y respaldo y comprobar licencia y exportación antes de clase.</w:t>
      </w:r>
    </w:p>
    <w:p>
      <w:pPr>
        <w:pStyle w:val="Caption"/>
      </w:pPr>
      <w:r>
        <w:t>Fuentes: M01 pp. 300–317; R11, R12, R16, R17. URLs en REFERENCIAS.md.</w:t>
      </w:r>
    </w:p>
    <w:p>
      <w:r>
        <w:br w:type="page"/>
      </w:r>
    </w:p>
    <w:p>
      <w:pPr>
        <w:pStyle w:val="Heading1"/>
      </w:pPr>
      <w:r>
        <w:t>2. Ortomosaico límites y obstáculos</w:t>
      </w:r>
    </w:p>
    <w:p>
      <w:r>
        <w:t>Apertura y contexto en tres minutos.</w:t>
      </w:r>
    </w:p>
    <w:p>
      <w:pPr>
        <w:pStyle w:val="Heading2"/>
      </w:pPr>
      <w:r>
        <w:t>1 Importar</w:t>
      </w:r>
    </w:p>
    <w:p>
      <w:r>
        <w:t>Cerrar Fields si el P4F lo requiere. Abrir Targeted Operations.p4f y confirmar Continue. Localizar proyecto en panel.</w:t>
      </w:r>
    </w:p>
    <w:p>
      <w:pPr>
        <w:pStyle w:val="Heading2"/>
      </w:pPr>
      <w:r>
        <w:t>2 RGB</w:t>
      </w:r>
    </w:p>
    <w:p>
      <w:r>
        <w:t>Abrir Infested Pasture RGB o capa equivalente. Revisar matorrales, sombras y sectores ambiguos.</w:t>
      </w:r>
    </w:p>
    <w:p>
      <w:pPr>
        <w:pStyle w:val="Heading2"/>
      </w:pPr>
      <w:r>
        <w:t>3 Límite</w:t>
      </w:r>
    </w:p>
    <w:p>
      <w:r>
        <w:t>Boundaries, Import shape y As boundary. Seleccionar Boundaries en boundaries_obstacles y verificar posición.</w:t>
      </w:r>
    </w:p>
    <w:p>
      <w:pPr>
        <w:pStyle w:val="Heading2"/>
      </w:pPr>
      <w:r>
        <w:t>4 Obstáculos</w:t>
      </w:r>
    </w:p>
    <w:p>
      <w:r>
        <w:t>Importar Obstacles como exclusiones. Comprobar caminos y áreas protegidas. Recortar una copia solo cuando el ejercicio lo requiera.</w:t>
      </w:r>
    </w:p>
    <w:p>
      <w:pPr>
        <w:pStyle w:val="Caption"/>
      </w:pPr>
      <w:r>
        <w:t>Fuentes: M01 pp. 300–317; R11, R12, R16, R17. URLs en REFERENCIAS.md.</w:t>
      </w:r>
    </w:p>
    <w:p>
      <w:r>
        <w:br w:type="page"/>
      </w:r>
    </w:p>
    <w:p>
      <w:pPr>
        <w:pStyle w:val="Heading1"/>
      </w:pPr>
      <w:r>
        <w:t>3. Magic Tool y limpieza</w:t>
      </w:r>
    </w:p>
    <w:p>
      <w:r>
        <w:t>Ocho minutos. La celda no es el GSD.</w:t>
      </w:r>
    </w:p>
    <w:p>
      <w:pPr>
        <w:pStyle w:val="Heading2"/>
      </w:pPr>
      <w:r>
        <w:t>5 Herramienta</w:t>
      </w:r>
    </w:p>
    <w:p>
      <w:r>
        <w:t>Elegir capa RGB, límite y obstáculos en Magic Tool.</w:t>
      </w:r>
    </w:p>
    <w:p>
      <w:pPr>
        <w:pStyle w:val="Heading2"/>
      </w:pPr>
      <w:r>
        <w:t>6 Cuadrícula</w:t>
      </w:r>
    </w:p>
    <w:p>
      <w:r>
        <w:t>Usar 1.5 m como parámetro del caso del cuaderno. No presentarlo como tamaño óptimo universal.</w:t>
      </w:r>
    </w:p>
    <w:p>
      <w:pPr>
        <w:pStyle w:val="Heading2"/>
      </w:pPr>
      <w:r>
        <w:t>7 Clases</w:t>
      </w:r>
    </w:p>
    <w:p>
      <w:r>
        <w:t>Wanted marca zarzamora y Not wanted pastura, sombra y objetos que se excluyen. Tres etiquetas por clase pueden iniciar el modelo, pero no demuestran exactitud.</w:t>
      </w:r>
    </w:p>
    <w:p>
      <w:pPr>
        <w:pStyle w:val="Heading2"/>
      </w:pPr>
      <w:r>
        <w:t>8 Revisión</w:t>
      </w:r>
    </w:p>
    <w:p>
      <w:r>
        <w:t>Añadir ejemplos representativos. En Clean up corregir falsos positivos y omisiones mediante Add y Delete. Revisar sectores independientes del entrenamiento.</w:t>
      </w:r>
    </w:p>
    <w:p>
      <w:pPr>
        <w:pStyle w:val="Caption"/>
      </w:pPr>
      <w:r>
        <w:t>Fuentes: M01 pp. 300–317; R11, R12, R16, R17. URLs en REFERENCIAS.md.</w:t>
      </w:r>
    </w:p>
    <w:p>
      <w:r>
        <w:br w:type="page"/>
      </w:r>
    </w:p>
    <w:p>
      <w:pPr>
        <w:pStyle w:val="Heading1"/>
      </w:pPr>
      <w:r>
        <w:t>4. Operación y exportación</w:t>
      </w:r>
    </w:p>
    <w:p>
      <w:r>
        <w:t>Cuatro minutos para mostrar condiciones y formatos.</w:t>
      </w:r>
    </w:p>
    <w:p>
      <w:pPr>
        <w:pStyle w:val="Heading2"/>
      </w:pPr>
      <w:r>
        <w:t>9 Zonas</w:t>
      </w:r>
    </w:p>
    <w:p>
      <w:r>
        <w:t>En Output settings elegir Operation y nombre DEMO_ZARZAMORA. Verificar zonas y exclusiones. Conservar anotación si convertir exige dosis.</w:t>
      </w:r>
    </w:p>
    <w:p>
      <w:pPr>
        <w:pStyle w:val="Heading2"/>
      </w:pPr>
      <w:r>
        <w:t>10 Sin prescripción</w:t>
      </w:r>
    </w:p>
    <w:p>
      <w:r>
        <w:t>No introducir dosis de agroquímicos. Si la interfaz las exige, detener la conversión y mostrar qué validación agronómica falta.</w:t>
      </w:r>
    </w:p>
    <w:p>
      <w:pPr>
        <w:pStyle w:val="Heading2"/>
      </w:pPr>
      <w:r>
        <w:t>11 Terminal</w:t>
      </w:r>
    </w:p>
    <w:p>
      <w:r>
        <w:t>Revisar Export para fabricante y modelo. Documentar versión, formato, CRS, celda y unidades. Visualizar no certifica compatibilidad.</w:t>
      </w:r>
    </w:p>
    <w:p>
      <w:pPr>
        <w:pStyle w:val="Heading2"/>
      </w:pPr>
      <w:r>
        <w:t>12 Evidencia</w:t>
      </w:r>
    </w:p>
    <w:p>
      <w:r>
        <w:t>Guardar entrada, etiquetas, correcciones y capturas. Completar registro-ejecucion.csv. La prueba en maquinaria sigue pendiente.</w:t>
      </w:r>
    </w:p>
    <w:p>
      <w:pPr>
        <w:pStyle w:val="Caption"/>
      </w:pPr>
      <w:r>
        <w:t>Fuentes: M01 pp. 300–317; R11, R12, R16, R17. URLs en REFERENCIAS.md.</w:t>
      </w:r>
    </w:p>
    <w:p>
      <w:r>
        <w:br w:type="page"/>
      </w:r>
    </w:p>
    <w:p>
      <w:pPr>
        <w:pStyle w:val="Heading1"/>
      </w:pPr>
      <w:r>
        <w:t>5. Validación y alternativa</w:t>
      </w:r>
    </w:p>
    <w:p>
      <w:r>
        <w:t>Una selección gráfica no demuestra un ahorro de insumos.</w:t>
      </w:r>
    </w:p>
    <w:p>
      <w:pPr>
        <w:pStyle w:val="Heading2"/>
      </w:pPr>
      <w:r>
        <w:t>Comprobar</w:t>
      </w:r>
    </w:p>
    <w:p>
      <w:r>
        <w:t>Usar referencias independientes para aciertos, falsas detecciones y omisiones. Sin verdad de campo, informar que no se evaluó exactitud agronómica.</w:t>
      </w:r>
    </w:p>
    <w:p>
      <w:pPr>
        <w:pStyle w:val="Heading2"/>
      </w:pPr>
      <w:r>
        <w:t>Distinguir</w:t>
      </w:r>
    </w:p>
    <w:p>
      <w:r>
        <w:t>Separar área detectada, de inspección y de aplicación autorizada.</w:t>
      </w:r>
    </w:p>
    <w:p>
      <w:pPr>
        <w:pStyle w:val="Heading2"/>
      </w:pPr>
      <w:r>
        <w:t>Contingencia</w:t>
      </w:r>
    </w:p>
    <w:p>
      <w:r>
        <w:t>Usar el esquema y guía. No cambiar a otra maleza sin declarar la sustitución. No simular un resultado calculado.</w:t>
      </w:r>
    </w:p>
    <w:p>
      <w:pPr>
        <w:pStyle w:val="Heading2"/>
      </w:pPr>
      <w:r>
        <w:t>Ensayo</w:t>
      </w:r>
    </w:p>
    <w:p>
      <w:r>
        <w:t>Confirmar apertura, etiquetas, limpieza y opciones de salida en máximo 15 minutos. Si falta el ensayo, impartir la explicación documental.</w:t>
      </w:r>
    </w:p>
    <w:p>
      <w:pPr>
        <w:pStyle w:val="Caption"/>
      </w:pPr>
      <w:r>
        <w:t>Fuentes: M01 pp. 300–317; R11, R12, R16, R17. URLs en REFERENCIAS.md.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2494" w:right="1152" w:bottom="1008" w:left="1152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Fira Sans" w:hAnsi="Fira Sans"/>
        <w:color w:val="264C6E"/>
        <w:sz w:val="16"/>
      </w:rPr>
      <w:t>AGROINT · Taller para Administración Agroindustrial UTN · agroint.co.cr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40000" cy="498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lor_0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498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Fira Sans" w:hAnsi="Fira Sans"/>
      <w:color w:val="263B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Fira Sans" w:hAnsi="Fira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Fira Sans" w:hAnsi="Fira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4" w:lineRule="auto"/>
      <w:outlineLvl w:val="0"/>
    </w:pPr>
    <w:rPr>
      <w:rFonts w:asciiTheme="majorHAnsi" w:eastAsiaTheme="majorEastAsia" w:hAnsiTheme="majorHAnsi" w:cstheme="majorBidi" w:ascii="Fira Sans" w:hAnsi="Fira Sans"/>
      <w:b/>
      <w:bCs/>
      <w:color w:val="264C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 w:ascii="Fira Sans" w:hAnsi="Fira Sans"/>
      <w:b/>
      <w:bCs/>
      <w:color w:val="264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Fira Sans" w:hAnsi="Fira Sans"/>
      <w:b/>
      <w:bCs/>
      <w:color w:val="264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Fira Sans" w:hAnsi="Fira Sans"/>
    </w:rPr>
  </w:style>
  <w:style w:type="table" w:default="1" w:styleId="TableNormal">
    <w:name w:val="Normal Table"/>
    <w:uiPriority w:val="99"/>
    <w:semiHidden/>
    <w:unhideWhenUsed/>
    <w:rPr>
      <w:rFonts w:ascii="Fira Sans" w:hAnsi="Fira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Fira Sans" w:hAnsi="Fira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Theme="majorHAnsi" w:eastAsiaTheme="majorEastAsia" w:hAnsiTheme="majorHAnsi" w:cstheme="majorBidi" w:ascii="Fira Sans" w:hAnsi="Fira Sans"/>
      <w:color w:val="264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Fira Sans" w:hAnsi="Fira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Fira Sans" w:hAnsi="Fira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Fira Sans" w:hAnsi="Fira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Fira Sans" w:hAnsi="Fira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Fira Sans" w:hAnsi="Fira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Fira Sans" w:hAnsi="Fira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Fira Sans" w:hAnsi="Fira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Fira Sans" w:hAnsi="Fira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Fira Sans" w:hAnsi="Fira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Fira Sans" w:hAnsi="Fira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Fira Sans" w:hAnsi="Fira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hAnsi="Fira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Fira Sans" w:hAnsi="Fira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Fira Sans" w:hAnsi="Fira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hAnsi="Fira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Fira Sans" w:hAnsi="Fira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Fira Sans" w:hAnsi="Fira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Fira Sans" w:hAnsi="Fira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Fira Sans" w:hAnsi="Fira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Fira Sans" w:hAnsi="Fira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Fira Sans" w:hAnsi="Fira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Fira Sans" w:hAnsi="Fira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Fira Sans" w:hAnsi="Fira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Fira Sans" w:hAnsi="Fira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hAnsi="Fira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Fira Sans" w:hAnsi="Fira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Fira Sans" w:hAnsi="Fira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Fira Sans" w:hAnsi="Fira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Fira Sans" w:hAnsi="Fira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Fira Sans" w:hAnsi="Fira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Fira Sans" w:hAnsi="Fira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Fira Sans" w:hAnsi="Fira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Fira Sans" w:hAnsi="Fira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Fira Sans" w:hAnsi="Fira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