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curso formal</w:t>
      </w:r>
    </w:p>
    <w:p>
      <w:r>
        <w:t>Drones y tecnologías geoespaciales aplicadas a la agroindustria · 40 horas · Pendiente de validación UTN</w:t>
      </w:r>
    </w:p>
    <w:p>
      <w:pPr>
        <w:pStyle w:val="Heading1"/>
      </w:pPr>
      <w:r>
        <w:t>1. Justificación y población</w:t>
      </w:r>
    </w:p>
    <w:p>
      <w:r>
        <w:t>Se propone Drones y tecnologías geoespaciales aplicadas a la agroindustria, de 40 horas. La apertura, certificación y presupuesto requieren validación de la UTN. El perfil de Administración Agroindustrial relaciona tecnología y gestión de recursos. El MAG incorpora Agromática y drones en extensión. El curso desarrolla lectura, producción y control de mapas para decisiones de finca y empresa.</w:t>
      </w:r>
    </w:p>
    <w:p>
      <w:pPr>
        <w:pStyle w:val="Heading2"/>
      </w:pPr>
      <w:r>
        <w:t>Necesidad</w:t>
      </w:r>
    </w:p>
    <w:p>
      <w:r>
        <w:t>Una imagen aérea no acredita exactitud, nutrición ni rentabilidad. Se necesita interpretar productos y comprobarlos en campo.</w:t>
      </w:r>
    </w:p>
    <w:p>
      <w:pPr>
        <w:pStyle w:val="Heading2"/>
      </w:pPr>
      <w:r>
        <w:t>Población</w:t>
      </w:r>
    </w:p>
    <w:p>
      <w:r>
        <w:t>Estudiantes de Administración Agroindustrial, técnicos, extensionistas y productores con manejo básico de archivos.</w:t>
      </w:r>
    </w:p>
    <w:p>
      <w:pPr>
        <w:pStyle w:val="Heading2"/>
      </w:pPr>
      <w:r>
        <w:t>Ingreso</w:t>
      </w:r>
    </w:p>
    <w:p>
      <w:r>
        <w:t>Computadora compatible o laboratorio, acceso a licencias y disponibilidad para prácticas. No se exige pilotaje previo. Campo bajo conducción autorizada.</w:t>
      </w:r>
    </w:p>
    <w:p>
      <w:pPr>
        <w:pStyle w:val="Caption"/>
      </w:pPr>
      <w:r>
        <w:t>Fuentes: R01, R02, R06, R13, R15, R19 y manuales aportados. Presupuesto: simulación explícita.</w:t>
      </w:r>
    </w:p>
    <w:p>
      <w:r>
        <w:br w:type="page"/>
      </w:r>
    </w:p>
    <w:p>
      <w:pPr>
        <w:pStyle w:val="Heading1"/>
      </w:pPr>
      <w:r>
        <w:t>2. Objetivos y competencias</w:t>
      </w:r>
    </w:p>
    <w:p>
      <w:r>
        <w:t>Objetivo general: preparar e interpretar productos fotogramétricos y multiespectrales para una pregunta de gestión, documentando origen, calidad, incertidumbre y comprobación.</w:t>
      </w:r>
    </w:p>
    <w:p>
      <w:pPr>
        <w:pStyle w:val="Heading2"/>
      </w:pPr>
      <w:r>
        <w:t>Objetivos específicos</w:t>
      </w:r>
    </w:p>
    <w:p>
      <w:r>
        <w:t>Seleccionar sensor y misión. Evaluar reconstrucción e informe. Comparar NDVI y NDRE por parcela. Revisar detecciones y operaciones. Comunicar costos y validación.</w:t>
      </w:r>
    </w:p>
    <w:p>
      <w:pPr>
        <w:pStyle w:val="Heading2"/>
      </w:pPr>
      <w:r>
        <w:t>Competencias</w:t>
      </w:r>
    </w:p>
    <w:p>
      <w:r>
        <w:t>Planificar adquisición y controles. Evaluar calidad geométrica. Interpretar datos espectrales sin diagnóstico automático. Documentar errores y compatibilidad. Gestionar información trazable.</w:t>
      </w:r>
    </w:p>
    <w:p>
      <w:pPr>
        <w:pStyle w:val="Heading2"/>
      </w:pPr>
      <w:r>
        <w:t>Evidencias</w:t>
      </w:r>
    </w:p>
    <w:p>
      <w:r>
        <w:t>Plan de captura, informe comentado, índices numéricos y CSV, selección revisada y reporte breve con decisión y responsable.</w:t>
      </w:r>
    </w:p>
    <w:p>
      <w:pPr>
        <w:pStyle w:val="Caption"/>
      </w:pPr>
      <w:r>
        <w:t>Fuentes: R01, R02, R06, R13, R15, R19 y manuales aportados. Presupuesto: simulación explícita.</w:t>
      </w:r>
    </w:p>
    <w:p>
      <w:r>
        <w:br w:type="page"/>
      </w:r>
    </w:p>
    <w:p>
      <w:pPr>
        <w:pStyle w:val="Heading1"/>
      </w:pPr>
      <w:r>
        <w:t>3. Programa modular</w:t>
      </w:r>
    </w:p>
    <w:p>
      <w:r>
        <w:t>Distribución propuesta: 10 horas de teoría y 30 de práctica.</w:t>
      </w:r>
    </w:p>
    <w:p>
      <w:pPr>
        <w:pStyle w:val="Heading2"/>
      </w:pPr>
      <w:r>
        <w:t>Módulo 1</w:t>
      </w:r>
    </w:p>
    <w:p>
      <w:r>
        <w:t>Fundamentos y sensores: 6 h, 3 teoría y 3 práctica. Fotogrametría, bandas, GSD, exactitud, incertidumbre y selección de productos.</w:t>
      </w:r>
    </w:p>
    <w:p>
      <w:pPr>
        <w:pStyle w:val="Heading2"/>
      </w:pPr>
      <w:r>
        <w:t>Módulo 2</w:t>
      </w:r>
    </w:p>
    <w:p>
      <w:r>
        <w:t>Planificación y captura: 6 h, 2 teoría y 4 práctica. Misión, solapes, iluminación, control, metadatos y organización.</w:t>
      </w:r>
    </w:p>
    <w:p>
      <w:pPr>
        <w:pStyle w:val="Heading2"/>
      </w:pPr>
      <w:r>
        <w:t>Módulo 3</w:t>
      </w:r>
    </w:p>
    <w:p>
      <w:r>
        <w:t>PIX4Dmatic Pro: 10 h, 2 teoría y 8 práctica. Importar, CRS, GCP, calibrar, calidad, nube, DSM, ortomosaico, medición y exportar.</w:t>
      </w:r>
    </w:p>
    <w:p>
      <w:pPr>
        <w:pStyle w:val="Heading2"/>
      </w:pPr>
      <w:r>
        <w:t>Módulo 4</w:t>
      </w:r>
    </w:p>
    <w:p>
      <w:r>
        <w:t>PIX4Dfields: 12 h, 3 teoría y 9 práctica. Radiometría, índices, parcelas, estadísticas, Magic Tool, operación y límites.</w:t>
      </w:r>
    </w:p>
    <w:p>
      <w:pPr>
        <w:pStyle w:val="Heading2"/>
      </w:pPr>
      <w:r>
        <w:t>Módulo 5</w:t>
      </w:r>
    </w:p>
    <w:p>
      <w:r>
        <w:t>Proyecto aplicado: 6 h prácticas. Pregunta, producto, control, comprobación, costos y presentación.</w:t>
      </w:r>
    </w:p>
    <w:p>
      <w:pPr>
        <w:pStyle w:val="Caption"/>
      </w:pPr>
      <w:r>
        <w:t>Fuentes: R01, R02, R06, R13, R15, R19 y manuales aportados. Presupuesto: simulación explícita.</w:t>
      </w:r>
    </w:p>
    <w:p>
      <w:r>
        <w:br w:type="page"/>
      </w:r>
    </w:p>
    <w:p>
      <w:pPr>
        <w:pStyle w:val="Heading1"/>
      </w:pPr>
      <w:r>
        <w:t>4. Metodología prácticas y evaluación</w:t>
      </w:r>
    </w:p>
    <w:p>
      <w:r>
        <w:t>Demostraciones breves, ejercicios guiados y proyecto por parejas. Supuesto de 20 participantes y 10 estaciones de laboratorio, pendiente de aprobación.</w:t>
      </w:r>
    </w:p>
    <w:p>
      <w:pPr>
        <w:pStyle w:val="Heading2"/>
      </w:pPr>
      <w:r>
        <w:t>Prácticas</w:t>
      </w:r>
    </w:p>
    <w:p>
      <w:r>
        <w:t>P1 plan de misión. P2 reconstrucción y control. P3 parcelas e índices. P4 detección y revisión. P5 mapa e informe para una unidad productiva. Campo autorizado o análisis de misión documentada ante mal clima.</w:t>
      </w:r>
    </w:p>
    <w:p>
      <w:pPr>
        <w:pStyle w:val="Heading2"/>
      </w:pPr>
      <w:r>
        <w:t>Evaluación</w:t>
      </w:r>
    </w:p>
    <w:p>
      <w:r>
        <w:t>Plan de captura 20 %, Matic y control 25 %, análisis Fields 25 %, validación 10 %, proyecto e informe 20 %. Total 100 %.</w:t>
      </w:r>
    </w:p>
    <w:p>
      <w:pPr>
        <w:pStyle w:val="Heading2"/>
      </w:pPr>
      <w:r>
        <w:t>Aprobación propuesta</w:t>
      </w:r>
    </w:p>
    <w:p>
      <w:r>
        <w:t>70 de 100 y 80 % de asistencia, sujetos a la normativa y decisión institucional. UTN define recuperación, plazos y certificado.</w:t>
      </w:r>
    </w:p>
    <w:p>
      <w:pPr>
        <w:pStyle w:val="Heading2"/>
      </w:pPr>
      <w:r>
        <w:t>Criterios</w:t>
      </w:r>
    </w:p>
    <w:p>
      <w:r>
        <w:t>Trazabilidad, corrección técnica, interpretación y comunicación. Corregir datos sin fuentes o resultados fabricados antes de aprobar.</w:t>
      </w:r>
    </w:p>
    <w:p>
      <w:pPr>
        <w:pStyle w:val="Caption"/>
      </w:pPr>
      <w:r>
        <w:t>Fuentes: R01, R02, R06, R13, R15, R19 y manuales aportados. Presupuesto: simulación explícita.</w:t>
      </w:r>
    </w:p>
    <w:p>
      <w:r>
        <w:br w:type="page"/>
      </w:r>
    </w:p>
    <w:p>
      <w:pPr>
        <w:pStyle w:val="Heading1"/>
      </w:pPr>
      <w:r>
        <w:t>5. Recursos instructor y licencias</w:t>
      </w:r>
    </w:p>
    <w:p>
      <w:r>
        <w:t>Proyector, laboratorio compatible con requisitos oficiales vigentes, almacenamiento, respaldo y conexión para activación y descargas. El ensayo del conjunto real determina si el equipo es suficiente.</w:t>
      </w:r>
    </w:p>
    <w:p>
      <w:pPr>
        <w:pStyle w:val="Heading2"/>
      </w:pPr>
      <w:r>
        <w:t>Equipo</w:t>
      </w:r>
    </w:p>
    <w:p>
      <w:r>
        <w:t>Mavic 3M de referencia, baterías, memorias, control y posicionamiento. Panel compatible si el método lo requiere. Documentar límites radiométricos sin panel.</w:t>
      </w:r>
    </w:p>
    <w:p>
      <w:pPr>
        <w:pStyle w:val="Heading2"/>
      </w:pPr>
      <w:r>
        <w:t>Licencias</w:t>
      </w:r>
    </w:p>
    <w:p>
      <w:r>
        <w:t>Matic Pro y Fields deben cubrir usuarios, estaciones y exportación. No suponer licencias educativas gratuitas. La prueba de Fields bloquea exportar. Solicitar cotización y condiciones académicas.</w:t>
      </w:r>
    </w:p>
    <w:p>
      <w:pPr>
        <w:pStyle w:val="Heading2"/>
      </w:pPr>
      <w:r>
        <w:t>Instructor</w:t>
      </w:r>
    </w:p>
    <w:p>
      <w:r>
        <w:t>Formación afín y experiencia demostrable en UAV, procesamiento y control. Apoyo agronómico para interpretar y prescribir cuando corresponda. Operador autorizado para la actividad prevista.</w:t>
      </w:r>
    </w:p>
    <w:p>
      <w:pPr>
        <w:pStyle w:val="Heading2"/>
      </w:pPr>
      <w:r>
        <w:t>Vinculación</w:t>
      </w:r>
    </w:p>
    <w:p>
      <w:r>
        <w:t>Acuerdos con productores sobre pregunta, acceso, datos y entrega. Seleccionar café, piña, caña, pasturas u otros según necesidad y disponibilidad, sin prometer beneficios no medidos.</w:t>
      </w:r>
    </w:p>
    <w:p>
      <w:pPr>
        <w:pStyle w:val="Caption"/>
      </w:pPr>
      <w:r>
        <w:t>Fuentes: R01, R02, R06, R13, R15, R19 y manuales aportados. Presupuesto: simulación explícita.</w:t>
      </w:r>
    </w:p>
    <w:p>
      <w:r>
        <w:br w:type="page"/>
      </w:r>
    </w:p>
    <w:p>
      <w:pPr>
        <w:pStyle w:val="Heading1"/>
      </w:pPr>
      <w:r>
        <w:t>6. Presupuesto preliminar</w:t>
      </w:r>
    </w:p>
    <w:p>
      <w:r>
        <w:t>Simulación de planificación en CRC. Son supuestos, no cotizaciones ni tarifas UTN. Base: 20 participantes, 10 estaciones existentes, 40 horas docentes y dos jornadas de campo. Excluye compra de equipos.</w:t>
      </w:r>
    </w:p>
    <w:p>
      <w:pPr>
        <w:pStyle w:val="Heading2"/>
      </w:pPr>
      <w:r>
        <w:t>Rubros</w:t>
      </w:r>
    </w:p>
    <w:p>
      <w:r>
        <w:t>Docencia 40 × 25000 = 1000000. Preparación 16 × 20000 = 320000. Asistencia 24 × 12000 = 288000. Equipo y operador 2 × 150000 = 300000.</w:t>
      </w:r>
    </w:p>
    <w:p>
      <w:pPr>
        <w:pStyle w:val="Heading2"/>
      </w:pPr>
      <w:r>
        <w:t>Recursos</w:t>
      </w:r>
    </w:p>
    <w:p>
      <w:r>
        <w:t>Laboratorio 40 × 5000 = 200000. Material 20 × 5000 = 100000. Transporte 2 × 60000 = 120000.</w:t>
      </w:r>
    </w:p>
    <w:p>
      <w:pPr>
        <w:pStyle w:val="Heading2"/>
      </w:pPr>
      <w:r>
        <w:t>Base</w:t>
      </w:r>
    </w:p>
    <w:p>
      <w:r>
        <w:t>Subtotal 2328000. Contingencia propuesta 10 % = 232800. Base total 2560800.</w:t>
      </w:r>
    </w:p>
    <w:p>
      <w:pPr>
        <w:pStyle w:val="Heading2"/>
      </w:pPr>
      <w:r>
        <w:t>Pendientes</w:t>
      </w:r>
    </w:p>
    <w:p>
      <w:r>
        <w:t>L licencias, I cargos institucionales y T impuestos o seguros. Total = 2560800 + L + I + T. Con 20 participantes, base 128040 por persona más costos pendientes entre 20. No es arancel para divulgar.</w:t>
      </w:r>
    </w:p>
    <w:p>
      <w:pPr>
        <w:pStyle w:val="Caption"/>
      </w:pPr>
      <w:r>
        <w:t>Fuentes: R01, R02, R06, R13, R15, R19 y manuales aportados. Presupuesto: simulación explícita.</w:t>
      </w:r>
    </w:p>
    <w:p>
      <w:r>
        <w:br w:type="page"/>
      </w:r>
    </w:p>
    <w:p>
      <w:pPr>
        <w:pStyle w:val="Heading1"/>
      </w:pPr>
      <w:r>
        <w:t>7. Condiciones de apertura</w:t>
      </w:r>
    </w:p>
    <w:p>
      <w:r>
        <w:t>El programa es una propuesta académica y no se presenta como aprobado.</w:t>
      </w:r>
    </w:p>
    <w:p>
      <w:pPr>
        <w:pStyle w:val="Heading2"/>
      </w:pPr>
      <w:r>
        <w:t>Académicas</w:t>
      </w:r>
    </w:p>
    <w:p>
      <w:r>
        <w:t>Validar unidad responsable, objetivos, requisitos, evaluación y certificación.</w:t>
      </w:r>
    </w:p>
    <w:p>
      <w:pPr>
        <w:pStyle w:val="Heading2"/>
      </w:pPr>
      <w:r>
        <w:t>Económicas</w:t>
      </w:r>
    </w:p>
    <w:p>
      <w:r>
        <w:t>Demanda, cupo y presupuesto con cotizaciones confirmados. Acordar uso de equipo y laboratorio.</w:t>
      </w:r>
    </w:p>
    <w:p>
      <w:pPr>
        <w:pStyle w:val="Heading2"/>
      </w:pPr>
      <w:r>
        <w:t>Operativas</w:t>
      </w:r>
    </w:p>
    <w:p>
      <w:r>
        <w:t>Probar aplicaciones, datos y exportaciones en las estaciones. Contingencia sin conexión y soporte disponibles.</w:t>
      </w:r>
    </w:p>
    <w:p>
      <w:pPr>
        <w:pStyle w:val="Heading2"/>
      </w:pPr>
      <w:r>
        <w:t>Campo y datos</w:t>
      </w:r>
    </w:p>
    <w:p>
      <w:r>
        <w:t>Área, operador, calendario alternativo, consentimiento y condiciones de seguridad autorizados.</w:t>
      </w:r>
    </w:p>
    <w:p>
      <w:pPr>
        <w:pStyle w:val="Heading2"/>
      </w:pPr>
      <w:r>
        <w:t>Seguimiento</w:t>
      </w:r>
    </w:p>
    <w:p>
      <w:r>
        <w:t>Evaluar aprendizaje, proyectos completados y utilidad para productores. Revisar programa tras la primera edición. Beneficios esperados: oferta aplicada y vinculación, pendientes de medir.</w:t>
      </w:r>
    </w:p>
    <w:p>
      <w:pPr>
        <w:pStyle w:val="Caption"/>
      </w:pPr>
      <w:r>
        <w:t>Fuentes: R01, R02, R06, R13, R15, R19 y manuales aportados. Presupuesto: simulación explícita.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2494" w:right="1152" w:bottom="1008" w:left="1152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Fira Sans" w:hAnsi="Fira Sans"/>
        <w:color w:val="264C6E"/>
        <w:sz w:val="16"/>
      </w:rPr>
      <w:t>AGROINT · Taller para Administración Agroindustrial UTN · agroint.co.cr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40000" cy="498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lor_0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498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Fira Sans" w:hAnsi="Fira Sans"/>
      <w:color w:val="263B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Fira Sans" w:hAnsi="Fira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Fira Sans" w:hAnsi="Fira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4" w:lineRule="auto"/>
      <w:outlineLvl w:val="0"/>
    </w:pPr>
    <w:rPr>
      <w:rFonts w:asciiTheme="majorHAnsi" w:eastAsiaTheme="majorEastAsia" w:hAnsiTheme="majorHAnsi" w:cstheme="majorBidi" w:ascii="Fira Sans" w:hAnsi="Fira Sans"/>
      <w:b/>
      <w:bCs/>
      <w:color w:val="264C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 w:ascii="Fira Sans" w:hAnsi="Fira Sans"/>
      <w:b/>
      <w:bCs/>
      <w:color w:val="264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Fira Sans" w:hAnsi="Fira Sans"/>
      <w:b/>
      <w:bCs/>
      <w:color w:val="264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Fira Sans" w:hAnsi="Fira Sans"/>
    </w:rPr>
  </w:style>
  <w:style w:type="table" w:default="1" w:styleId="TableNormal">
    <w:name w:val="Normal Table"/>
    <w:uiPriority w:val="99"/>
    <w:semiHidden/>
    <w:unhideWhenUsed/>
    <w:rPr>
      <w:rFonts w:ascii="Fira Sans" w:hAnsi="Fira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Fira Sans" w:hAnsi="Fira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Theme="majorHAnsi" w:eastAsiaTheme="majorEastAsia" w:hAnsiTheme="majorHAnsi" w:cstheme="majorBidi" w:ascii="Fira Sans" w:hAnsi="Fira Sans"/>
      <w:color w:val="264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Fira Sans" w:hAnsi="Fira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Fira Sans" w:hAnsi="Fira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Fira Sans" w:hAnsi="Fira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Fira Sans" w:hAnsi="Fira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Fira Sans" w:hAnsi="Fira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Fira Sans" w:hAnsi="Fira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Fira Sans" w:hAnsi="Fira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Fira Sans" w:hAnsi="Fira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Fira Sans" w:hAnsi="Fira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Fira Sans" w:hAnsi="Fira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Fira Sans" w:hAnsi="Fira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hAnsi="Fira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Fira Sans" w:hAnsi="Fira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Fira Sans" w:hAnsi="Fira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hAnsi="Fira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Fira Sans" w:hAnsi="Fira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Fira Sans" w:hAnsi="Fira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Fira Sans" w:hAnsi="Fira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Fira Sans" w:hAnsi="Fira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Fira Sans" w:hAnsi="Fira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Fira Sans" w:hAnsi="Fira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Fira Sans" w:hAnsi="Fira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Fira Sans" w:hAnsi="Fira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Fira Sans" w:hAnsi="Fira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hAnsi="Fira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Fira Sans" w:hAnsi="Fira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Fira Sans" w:hAnsi="Fira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Fira Sans" w:hAnsi="Fira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Fira Sans" w:hAnsi="Fira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Fira Sans" w:hAnsi="Fira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Fira Sans" w:hAnsi="Fira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Fira Sans" w:hAnsi="Fira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Fira Sans" w:hAnsi="Fira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Fira Sans" w:hAnsi="Fira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