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Guion del instructor</w:t>
      </w:r>
    </w:p>
    <w:p>
      <w:r>
        <w:t>Instrumento operativo · Correspondencia con las 21 diapositivas</w:t>
      </w:r>
    </w:p>
    <w:p>
      <w:pPr>
        <w:pStyle w:val="Heading1"/>
      </w:pPr>
      <w:r>
        <w:t>0 a 15 min | Aplicaciones de drones en la agroindustria</w:t>
      </w:r>
    </w:p>
    <w:p>
      <w:r>
        <w:t>Diapositivas 1 a 3 · Mantener el reloj visible.</w:t>
      </w:r>
    </w:p>
    <w:p>
      <w:pPr>
        <w:pStyle w:val="Heading2"/>
      </w:pPr>
      <w:r>
        <w:t>Objetivo</w:t>
      </w:r>
    </w:p>
    <w:p>
      <w:r>
        <w:t>Relacionar productos y decisiones de gestión.</w:t>
      </w:r>
    </w:p>
    <w:p>
      <w:pPr>
        <w:pStyle w:val="Heading2"/>
      </w:pPr>
      <w:r>
        <w:t>Explicación breve</w:t>
      </w:r>
    </w:p>
    <w:p>
      <w:r>
        <w:t>La imagen aporta observaciones. La decisión exige comprobar su utilidad. Plantear producción, inventarios y asignación de recursos, diferenciando casos oficiales y propuestas locales.</w:t>
      </w:r>
    </w:p>
    <w:p>
      <w:pPr>
        <w:pStyle w:val="Heading2"/>
      </w:pPr>
      <w:r>
        <w:t>Programa</w:t>
      </w:r>
    </w:p>
    <w:p>
      <w:r>
        <w:t>Presentación o PDF.</w:t>
      </w:r>
    </w:p>
    <w:p>
      <w:pPr>
        <w:pStyle w:val="Heading2"/>
      </w:pPr>
      <w:r>
        <w:t>Operaciones</w:t>
      </w:r>
    </w:p>
    <w:p>
      <w:r>
        <w:t>Mostrar 1 y 2 durante cinco minutos. En la 3 pedir un problema de finca o planta. Elegir la decisión y asociarla a producto y comprobación.</w:t>
      </w:r>
    </w:p>
    <w:p>
      <w:pPr>
        <w:pStyle w:val="Heading2"/>
      </w:pPr>
      <w:r>
        <w:t>Resultado que se muestra</w:t>
      </w:r>
    </w:p>
    <w:p>
      <w:r>
        <w:t>Pregunta de gestión con evidencia faltante.</w:t>
      </w:r>
    </w:p>
    <w:p>
      <w:pPr>
        <w:pStyle w:val="Heading2"/>
      </w:pPr>
      <w:r>
        <w:t>Pregunta a estudiantes</w:t>
      </w:r>
    </w:p>
    <w:p>
      <w:r>
        <w:t>¿Qué decisión necesita tomar y qué información le falta?</w:t>
      </w:r>
    </w:p>
    <w:p>
      <w:pPr>
        <w:pStyle w:val="Heading2"/>
      </w:pPr>
      <w:r>
        <w:t>Concepto clave</w:t>
      </w:r>
    </w:p>
    <w:p>
      <w:r>
        <w:t>El producto se define desde la decisión.</w:t>
      </w:r>
    </w:p>
    <w:p>
      <w:pPr>
        <w:pStyle w:val="Heading2"/>
      </w:pPr>
      <w:r>
        <w:t>Alternativa técnica</w:t>
      </w:r>
    </w:p>
    <w:p>
      <w:r>
        <w:t>Abrir el PDF y usar ejemplos públicos descargados.</w:t>
      </w:r>
    </w:p>
    <w:p>
      <w:r>
        <w:br w:type="page"/>
      </w:r>
    </w:p>
    <w:p>
      <w:pPr>
        <w:pStyle w:val="Heading1"/>
      </w:pPr>
      <w:r>
        <w:t>15 a 30 min | Sensores y planificación</w:t>
      </w:r>
    </w:p>
    <w:p>
      <w:r>
        <w:t>Diapositivas 4 a 6 · Mantener el reloj visible.</w:t>
      </w:r>
    </w:p>
    <w:p>
      <w:pPr>
        <w:pStyle w:val="Heading2"/>
      </w:pPr>
      <w:r>
        <w:t>Objetivo</w:t>
      </w:r>
    </w:p>
    <w:p>
      <w:r>
        <w:t>Elegir RGB o multiespectral según la pregunta.</w:t>
      </w:r>
    </w:p>
    <w:p>
      <w:pPr>
        <w:pStyle w:val="Heading2"/>
      </w:pPr>
      <w:r>
        <w:t>Explicación breve</w:t>
      </w:r>
    </w:p>
    <w:p>
      <w:r>
        <w:t>RGB aporta aspecto visible y geometría. Los índices necesitan bandas específicas. GSD es tamaño de píxel en terreno, no exactitud garantizada. RTK requiere comprobación.</w:t>
      </w:r>
    </w:p>
    <w:p>
      <w:pPr>
        <w:pStyle w:val="Heading2"/>
      </w:pPr>
      <w:r>
        <w:t>Programa</w:t>
      </w:r>
    </w:p>
    <w:p>
      <w:r>
        <w:t>Presentación y carpeta de imágenes si está disponible.</w:t>
      </w:r>
    </w:p>
    <w:p>
      <w:pPr>
        <w:pStyle w:val="Heading2"/>
      </w:pPr>
      <w:r>
        <w:t>Operaciones</w:t>
      </w:r>
    </w:p>
    <w:p>
      <w:r>
        <w:t>Comparar RGB y G R RE NIR. Identificar cámaras del Mavic 3M. Revisar solape, iluminación, desenfoque y metadatos. Separar JPEG RGB y TIFF multiespectrales.</w:t>
      </w:r>
    </w:p>
    <w:p>
      <w:pPr>
        <w:pStyle w:val="Heading2"/>
      </w:pPr>
      <w:r>
        <w:t>Resultado que se muestra</w:t>
      </w:r>
    </w:p>
    <w:p>
      <w:r>
        <w:t>Selección razonada de sensor y controles de captura.</w:t>
      </w:r>
    </w:p>
    <w:p>
      <w:pPr>
        <w:pStyle w:val="Heading2"/>
      </w:pPr>
      <w:r>
        <w:t>Pregunta a estudiantes</w:t>
      </w:r>
    </w:p>
    <w:p>
      <w:r>
        <w:t>¿Puede una imagen RGB producir NDRE?</w:t>
      </w:r>
    </w:p>
    <w:p>
      <w:pPr>
        <w:pStyle w:val="Heading2"/>
      </w:pPr>
      <w:r>
        <w:t>Concepto clave</w:t>
      </w:r>
    </w:p>
    <w:p>
      <w:r>
        <w:t>Cada índice requiere bandas específicas.</w:t>
      </w:r>
    </w:p>
    <w:p>
      <w:pPr>
        <w:pStyle w:val="Heading2"/>
      </w:pPr>
      <w:r>
        <w:t>Alternativa técnica</w:t>
      </w:r>
    </w:p>
    <w:p>
      <w:r>
        <w:t>Usar el diagrama editable sin abrir fotografías externas.</w:t>
      </w:r>
    </w:p>
    <w:p>
      <w:r>
        <w:br w:type="page"/>
      </w:r>
    </w:p>
    <w:p>
      <w:pPr>
        <w:pStyle w:val="Heading1"/>
      </w:pPr>
      <w:r>
        <w:t>30 a 60 min | Demostración PIX4Dmatic Pro</w:t>
      </w:r>
    </w:p>
    <w:p>
      <w:r>
        <w:t>Diapositivas 7 a 11 · Mantener el reloj visible.</w:t>
      </w:r>
    </w:p>
    <w:p>
      <w:pPr>
        <w:pStyle w:val="Heading2"/>
      </w:pPr>
      <w:r>
        <w:t>Objetivo</w:t>
      </w:r>
    </w:p>
    <w:p>
      <w:r>
        <w:t>Reconocer entradas, control y productos de reconstrucción.</w:t>
      </w:r>
    </w:p>
    <w:p>
      <w:pPr>
        <w:pStyle w:val="Heading2"/>
      </w:pPr>
      <w:r>
        <w:t>Explicación breve</w:t>
      </w:r>
    </w:p>
    <w:p>
      <w:r>
        <w:t>Usar el ejemplo público de 100 imágenes de Suiza. Mantener CRS y alturas documentados. Diferenciar GCP del ajuste y puntos independientes de comprobación. Mostrar productos listos, sin esperar procesamiento completo.</w:t>
      </w:r>
    </w:p>
    <w:p>
      <w:pPr>
        <w:pStyle w:val="Heading2"/>
      </w:pPr>
      <w:r>
        <w:t>Programa</w:t>
      </w:r>
    </w:p>
    <w:p>
      <w:r>
        <w:t>PIX4Dmatic Pro. Referencia documental 2.10.3 estable. Guía D.</w:t>
      </w:r>
    </w:p>
    <w:p>
      <w:pPr>
        <w:pStyle w:val="Heading2"/>
      </w:pPr>
      <w:r>
        <w:t>Operaciones</w:t>
      </w:r>
    </w:p>
    <w:p>
      <w:r>
        <w:t>30 a 33: flujo. 33 a 41: abrir copia, localizar fotografías, revisar GCP, CRS e informe. 41 a 49: nube y malla. 49 a 56: DSM, ortomosaico y medición. 56 a 60: exportaciones y controles.</w:t>
      </w:r>
    </w:p>
    <w:p>
      <w:pPr>
        <w:pStyle w:val="Heading2"/>
      </w:pPr>
      <w:r>
        <w:t>Resultado que se muestra</w:t>
      </w:r>
    </w:p>
    <w:p>
      <w:r>
        <w:t>Proyecto, informe y productos trazables cuando estén disponibles.</w:t>
      </w:r>
    </w:p>
    <w:p>
      <w:pPr>
        <w:pStyle w:val="Heading2"/>
      </w:pPr>
      <w:r>
        <w:t>Pregunta a estudiantes</w:t>
      </w:r>
    </w:p>
    <w:p>
      <w:r>
        <w:t>¿Qué comprobaría antes de usar un área medida para inventarios?</w:t>
      </w:r>
    </w:p>
    <w:p>
      <w:pPr>
        <w:pStyle w:val="Heading2"/>
      </w:pPr>
      <w:r>
        <w:t>Concepto clave</w:t>
      </w:r>
    </w:p>
    <w:p>
      <w:r>
        <w:t>La georreferenciación necesita control documentado.</w:t>
      </w:r>
    </w:p>
    <w:p>
      <w:pPr>
        <w:pStyle w:val="Heading2"/>
      </w:pPr>
      <w:r>
        <w:t>Alternativa técnica</w:t>
      </w:r>
    </w:p>
    <w:p>
      <w:r>
        <w:t>Mostrar vistas públicas oficiales y el diagrama conceptual. Explicar que no prueban procesamiento ejecutado por el instructor.</w:t>
      </w:r>
    </w:p>
    <w:p>
      <w:r>
        <w:br w:type="page"/>
      </w:r>
    </w:p>
    <w:p>
      <w:pPr>
        <w:pStyle w:val="Heading1"/>
      </w:pPr>
      <w:r>
        <w:t>60 a 90 min | PIX4Dfields con NDVI y NDRE</w:t>
      </w:r>
    </w:p>
    <w:p>
      <w:r>
        <w:t>Diapositivas 12 a 15 · Mantener el reloj visible.</w:t>
      </w:r>
    </w:p>
    <w:p>
      <w:pPr>
        <w:pStyle w:val="Heading2"/>
      </w:pPr>
      <w:r>
        <w:t>Objetivo</w:t>
      </w:r>
    </w:p>
    <w:p>
      <w:r>
        <w:t>Comparar índices y parcelas sin atribuir causas no comprobadas.</w:t>
      </w:r>
    </w:p>
    <w:p>
      <w:pPr>
        <w:pStyle w:val="Heading2"/>
      </w:pPr>
      <w:r>
        <w:t>Explicación breve</w:t>
      </w:r>
    </w:p>
    <w:p>
      <w:r>
        <w:t>Usar Field trial y no sustituirlo por Rostock sin explicarlo. Revisar radiometría. La paleta no es un valor numérico y una media puede ocultar variabilidad.</w:t>
      </w:r>
    </w:p>
    <w:p>
      <w:pPr>
        <w:pStyle w:val="Heading2"/>
      </w:pPr>
      <w:r>
        <w:t>Programa</w:t>
      </w:r>
    </w:p>
    <w:p>
      <w:r>
        <w:t>PIX4Dfields. Referencia documental 2.13.5. Guía E1.</w:t>
      </w:r>
    </w:p>
    <w:p>
      <w:pPr>
        <w:pStyle w:val="Heading2"/>
      </w:pPr>
      <w:r>
        <w:t>Operaciones</w:t>
      </w:r>
    </w:p>
    <w:p>
      <w:r>
        <w:t>60 a 63: abrir proyecto preparado. 63 a 69: fórmulas y bandas. 69 a 78: límite, parcelas e índices. 78 a 85: comparación y anotaciones. 85 a 90: CSV, raster numérico y verificación de campo.</w:t>
      </w:r>
    </w:p>
    <w:p>
      <w:pPr>
        <w:pStyle w:val="Heading2"/>
      </w:pPr>
      <w:r>
        <w:t>Resultado que se muestra</w:t>
      </w:r>
    </w:p>
    <w:p>
      <w:r>
        <w:t>Capas y estadísticas de parcelas con procedencia. No se aportan valores calculados en esta producción.</w:t>
      </w:r>
    </w:p>
    <w:p>
      <w:pPr>
        <w:pStyle w:val="Heading2"/>
      </w:pPr>
      <w:r>
        <w:t>Pregunta a estudiantes</w:t>
      </w:r>
    </w:p>
    <w:p>
      <w:r>
        <w:t>Si una parcela tiene NDVI bajo, ¿qué revisaría antes de cambiar el manejo?</w:t>
      </w:r>
    </w:p>
    <w:p>
      <w:pPr>
        <w:pStyle w:val="Heading2"/>
      </w:pPr>
      <w:r>
        <w:t>Concepto clave</w:t>
      </w:r>
    </w:p>
    <w:p>
      <w:r>
        <w:t>El índice localiza una diferencia. La inspección investiga la causa.</w:t>
      </w:r>
    </w:p>
    <w:p>
      <w:pPr>
        <w:pStyle w:val="Heading2"/>
      </w:pPr>
      <w:r>
        <w:t>Alternativa técnica</w:t>
      </w:r>
    </w:p>
    <w:p>
      <w:r>
        <w:t>Usar Rostock como otro caso identificado y el simulador didáctico para fórmulas. No atribuirlo al trigo real.</w:t>
      </w:r>
    </w:p>
    <w:p>
      <w:r>
        <w:br w:type="page"/>
      </w:r>
    </w:p>
    <w:p>
      <w:pPr>
        <w:pStyle w:val="Heading1"/>
      </w:pPr>
      <w:r>
        <w:t>90 a 105 min | Malezas y Magic Tool</w:t>
      </w:r>
    </w:p>
    <w:p>
      <w:r>
        <w:t>Diapositivas 16 a 18 · Mantener el reloj visible.</w:t>
      </w:r>
    </w:p>
    <w:p>
      <w:pPr>
        <w:pStyle w:val="Heading2"/>
      </w:pPr>
      <w:r>
        <w:t>Objetivo</w:t>
      </w:r>
    </w:p>
    <w:p>
      <w:r>
        <w:t>Revisar errores antes de construir una operación.</w:t>
      </w:r>
    </w:p>
    <w:p>
      <w:pPr>
        <w:pStyle w:val="Heading2"/>
      </w:pPr>
      <w:r>
        <w:t>Explicación breve</w:t>
      </w:r>
    </w:p>
    <w:p>
      <w:r>
        <w:t>El caso es zarzamora australiana con XAG M500. Wanted significa objeto buscado, aunque sea maleza. La celda de clasificación es diferente del GSD.</w:t>
      </w:r>
    </w:p>
    <w:p>
      <w:pPr>
        <w:pStyle w:val="Heading2"/>
      </w:pPr>
      <w:r>
        <w:t>Programa</w:t>
      </w:r>
    </w:p>
    <w:p>
      <w:r>
        <w:t>PIX4Dfields con Targeted Operations.p4f ensayado. Guía E2.</w:t>
      </w:r>
    </w:p>
    <w:p>
      <w:pPr>
        <w:pStyle w:val="Heading2"/>
      </w:pPr>
      <w:r>
        <w:t>Operaciones</w:t>
      </w:r>
    </w:p>
    <w:p>
      <w:r>
        <w:t>90 a 93: ortomosaico, límite y obstáculos. 93 a 98: Magic Tool, celda 1.5 m del caso y ambas clases. 98 a 101: limpieza y revisión independiente. 101 a 105: operación y opciones de exportación sin prescripción.</w:t>
      </w:r>
    </w:p>
    <w:p>
      <w:pPr>
        <w:pStyle w:val="Heading2"/>
      </w:pPr>
      <w:r>
        <w:t>Resultado que se muestra</w:t>
      </w:r>
    </w:p>
    <w:p>
      <w:r>
        <w:t>Selección revisada. No es una operación validada para aplicar insumos.</w:t>
      </w:r>
    </w:p>
    <w:p>
      <w:pPr>
        <w:pStyle w:val="Heading2"/>
      </w:pPr>
      <w:r>
        <w:t>Pregunta a estudiantes</w:t>
      </w:r>
    </w:p>
    <w:p>
      <w:r>
        <w:t>¿Qué error importa más aquí, omitir maleza o incluir cultivo sano?</w:t>
      </w:r>
    </w:p>
    <w:p>
      <w:pPr>
        <w:pStyle w:val="Heading2"/>
      </w:pPr>
      <w:r>
        <w:t>Concepto clave</w:t>
      </w:r>
    </w:p>
    <w:p>
      <w:r>
        <w:t>Etiquetas y revisión condicionan el resultado.</w:t>
      </w:r>
    </w:p>
    <w:p>
      <w:pPr>
        <w:pStyle w:val="Heading2"/>
      </w:pPr>
      <w:r>
        <w:t>Alternativa técnica</w:t>
      </w:r>
    </w:p>
    <w:p>
      <w:r>
        <w:t>Usar el esquema original de etiquetas y el enlace al caso. No afirmar que existe una clasificación calculada.</w:t>
      </w:r>
    </w:p>
    <w:p>
      <w:r>
        <w:br w:type="page"/>
      </w:r>
    </w:p>
    <w:p>
      <w:pPr>
        <w:pStyle w:val="Heading1"/>
      </w:pPr>
      <w:r>
        <w:t>105 a 115 min | Aplicaciones empresariales y decisiones</w:t>
      </w:r>
    </w:p>
    <w:p>
      <w:r>
        <w:t>Diapositivas 19 · Mantener el reloj visible.</w:t>
      </w:r>
    </w:p>
    <w:p>
      <w:pPr>
        <w:pStyle w:val="Heading2"/>
      </w:pPr>
      <w:r>
        <w:t>Objetivo</w:t>
      </w:r>
    </w:p>
    <w:p>
      <w:r>
        <w:t>Evaluar el valor de información sin inventar retornos.</w:t>
      </w:r>
    </w:p>
    <w:p>
      <w:pPr>
        <w:pStyle w:val="Heading2"/>
      </w:pPr>
      <w:r>
        <w:t>Explicación breve</w:t>
      </w:r>
    </w:p>
    <w:p>
      <w:r>
        <w:t>Comparar costo de obtener y comprobar información con un beneficio medible. Diferenciar área de inspección, área detectada y área tratada.</w:t>
      </w:r>
    </w:p>
    <w:p>
      <w:pPr>
        <w:pStyle w:val="Heading2"/>
      </w:pPr>
      <w:r>
        <w:t>Programa</w:t>
      </w:r>
    </w:p>
    <w:p>
      <w:r>
        <w:t>Presentación y ficha de decisión.</w:t>
      </w:r>
    </w:p>
    <w:p>
      <w:pPr>
        <w:pStyle w:val="Heading2"/>
      </w:pPr>
      <w:r>
        <w:t>Operaciones</w:t>
      </w:r>
    </w:p>
    <w:p>
      <w:r>
        <w:t>Plantear heterogeneidad de lotes. Pedir producto, costo, verificación y responsable. Usar cifras solo si se rotulan como simulación.</w:t>
      </w:r>
    </w:p>
    <w:p>
      <w:pPr>
        <w:pStyle w:val="Heading2"/>
      </w:pPr>
      <w:r>
        <w:t>Resultado que se muestra</w:t>
      </w:r>
    </w:p>
    <w:p>
      <w:r>
        <w:t>Ficha de decisión, incertidumbre y comprobación siguiente.</w:t>
      </w:r>
    </w:p>
    <w:p>
      <w:pPr>
        <w:pStyle w:val="Heading2"/>
      </w:pPr>
      <w:r>
        <w:t>Pregunta a estudiantes</w:t>
      </w:r>
    </w:p>
    <w:p>
      <w:r>
        <w:t>¿Qué mediría para demostrar que el servicio se pagó?</w:t>
      </w:r>
    </w:p>
    <w:p>
      <w:pPr>
        <w:pStyle w:val="Heading2"/>
      </w:pPr>
      <w:r>
        <w:t>Concepto clave</w:t>
      </w:r>
    </w:p>
    <w:p>
      <w:r>
        <w:t>El beneficio necesita evidencia comparable.</w:t>
      </w:r>
    </w:p>
    <w:p>
      <w:pPr>
        <w:pStyle w:val="Heading2"/>
      </w:pPr>
      <w:r>
        <w:t>Alternativa técnica</w:t>
      </w:r>
    </w:p>
    <w:p>
      <w:r>
        <w:t>Resolver la ficha en papel sin cálculos ni proyector.</w:t>
      </w:r>
    </w:p>
    <w:p>
      <w:r>
        <w:br w:type="page"/>
      </w:r>
    </w:p>
    <w:p>
      <w:pPr>
        <w:pStyle w:val="Heading1"/>
      </w:pPr>
      <w:r>
        <w:t>115 a 120 min | Propuesta académica y cierre</w:t>
      </w:r>
    </w:p>
    <w:p>
      <w:r>
        <w:t>Diapositivas 20 y 21 · Mantener el reloj visible.</w:t>
      </w:r>
    </w:p>
    <w:p>
      <w:pPr>
        <w:pStyle w:val="Heading2"/>
      </w:pPr>
      <w:r>
        <w:t>Objetivo</w:t>
      </w:r>
    </w:p>
    <w:p>
      <w:r>
        <w:t>Presentar continuidad formativa y comprobar comprensión.</w:t>
      </w:r>
    </w:p>
    <w:p>
      <w:pPr>
        <w:pStyle w:val="Heading2"/>
      </w:pPr>
      <w:r>
        <w:t>Explicación breve</w:t>
      </w:r>
    </w:p>
    <w:p>
      <w:r>
        <w:t>La propuesta es de 40 horas, pendiente de validación UTN. El taller no habilita operadores ni prescripciones agronómicas.</w:t>
      </w:r>
    </w:p>
    <w:p>
      <w:pPr>
        <w:pStyle w:val="Heading2"/>
      </w:pPr>
      <w:r>
        <w:t>Programa</w:t>
      </w:r>
    </w:p>
    <w:p>
      <w:r>
        <w:t>Presentación y propuesta PDF.</w:t>
      </w:r>
    </w:p>
    <w:p>
      <w:pPr>
        <w:pStyle w:val="Heading2"/>
      </w:pPr>
      <w:r>
        <w:t>Operaciones</w:t>
      </w:r>
    </w:p>
    <w:p>
      <w:r>
        <w:t>115 a 118: módulos, horas y proyecto. 118 a 120: pregunta de salida y acceso a descargas.</w:t>
      </w:r>
    </w:p>
    <w:p>
      <w:pPr>
        <w:pStyle w:val="Heading2"/>
      </w:pPr>
      <w:r>
        <w:t>Resultado que se muestra</w:t>
      </w:r>
    </w:p>
    <w:p>
      <w:r>
        <w:t>Una respuesta de salida por participante.</w:t>
      </w:r>
    </w:p>
    <w:p>
      <w:pPr>
        <w:pStyle w:val="Heading2"/>
      </w:pPr>
      <w:r>
        <w:t>Pregunta a estudiantes</w:t>
      </w:r>
    </w:p>
    <w:p>
      <w:r>
        <w:t>¿Qué producto usaría y cómo comprobaría el resultado?</w:t>
      </w:r>
    </w:p>
    <w:p>
      <w:pPr>
        <w:pStyle w:val="Heading2"/>
      </w:pPr>
      <w:r>
        <w:t>Concepto clave</w:t>
      </w:r>
    </w:p>
    <w:p>
      <w:r>
        <w:t>La formación posterior exige práctica y evaluación.</w:t>
      </w:r>
    </w:p>
    <w:p>
      <w:pPr>
        <w:pStyle w:val="Heading2"/>
      </w:pPr>
      <w:r>
        <w:t>Alternativa técnica</w:t>
      </w:r>
    </w:p>
    <w:p>
      <w:r>
        <w:t>Compartir programa o propuesta descargada sin abrir enlaces.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2494" w:right="1152" w:bottom="1008" w:left="1152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Fira Sans" w:hAnsi="Fira Sans"/>
        <w:color w:val="264C6E"/>
        <w:sz w:val="16"/>
      </w:rPr>
      <w:t>AGROINT · Taller para Administración Agroindustrial UTN · agroint.co.cr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498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_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98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Fira Sans" w:hAnsi="Fira Sans"/>
      <w:color w:val="26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Fira Sans" w:hAnsi="Fira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Fira Sans" w:hAnsi="Fir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Fira Sans" w:hAnsi="Fira Sans"/>
      <w:b/>
      <w:bCs/>
      <w:color w:val="264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Fira Sans" w:hAnsi="Fira Sans"/>
      <w:b/>
      <w:bCs/>
      <w:color w:val="264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ira Sans" w:hAnsi="Fira Sans"/>
      <w:b/>
      <w:bCs/>
      <w:color w:val="264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Fira Sans" w:hAnsi="Fira Sans"/>
    </w:rPr>
  </w:style>
  <w:style w:type="table" w:default="1" w:styleId="TableNormal">
    <w:name w:val="Normal Table"/>
    <w:uiPriority w:val="99"/>
    <w:semiHidden/>
    <w:unhideWhenUsed/>
    <w:rPr>
      <w:rFonts w:ascii="Fira Sans" w:hAnsi="Fira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Fira Sans" w:hAnsi="Fira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Fira Sans" w:hAnsi="Fira Sans"/>
      <w:color w:val="264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Fira Sans" w:hAnsi="Fira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ira Sans" w:hAnsi="Fira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Fira Sans" w:hAnsi="Fira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Fira Sans" w:hAnsi="Fira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Fira Sans" w:hAnsi="Fira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Fira Sans" w:hAnsi="Fira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Fira Sans" w:hAnsi="Fira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Fira Sans" w:hAnsi="Fira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Fira Sans" w:hAnsi="Fira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Fira Sans" w:hAnsi="Fira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Fira Sans" w:hAnsi="Fira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Fira Sans" w:hAnsi="Fira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Fira Sans" w:hAnsi="Fira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Fira Sans" w:hAnsi="Fira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Fira Sans" w:hAnsi="Fira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Fira Sans" w:hAnsi="Fira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Fira Sans" w:hAnsi="Fira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Fira Sans" w:hAnsi="Fira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ira Sans" w:hAnsi="Fira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ira Sans" w:hAnsi="Fira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Fira Sans" w:hAnsi="Fira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Fira Sans" w:hAnsi="Fira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Fira Sans" w:hAnsi="Fira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Fira Sans" w:hAnsi="Fira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Fira Sans" w:hAnsi="Fira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Fira Sans" w:hAnsi="Fira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Fira Sans" w:hAnsi="Fira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Fira Sans" w:hAnsi="Fira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Fira Sans" w:hAnsi="Fira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Fira Sans" w:hAnsi="Fira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