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NCR Financial Review DEC-2021</w:t>
      </w:r>
    </w:p>
    <w:p>
      <w:pPr>
        <w:pStyle w:val="Heading1"/>
      </w:pPr>
      <w:r>
        <w:t>Revenue Expenditure:</w:t>
      </w:r>
    </w:p>
    <w:p>
      <w:pPr>
        <w:pStyle w:val="ListBullet"/>
      </w:pPr>
      <w:r>
        <w:t>The Revised Grant for Ord. Working Expenses (OWE) 2021-22, excluding suspense is Rs 8707.05 crore, more than SL by Rs. 430.10 crore and more than last year actuals by only Rs. 889.01 crore (11.37%).</w:t>
      </w:r>
    </w:p>
    <w:p>
      <w:pPr>
        <w:pStyle w:val="ListBullet"/>
      </w:pPr>
      <w:r>
        <w:t>OWE (excluding suspense) to end Dec' 21 amounts to Rs 7206.83 crore which is 82.77% of the RG, and more than COPPY by 11.47%.</w:t>
      </w:r>
    </w:p>
    <w:p>
      <w:pPr>
        <w:pStyle w:val="ListBullet"/>
        <w:jc w:val="both"/>
      </w:pPr>
      <w:r>
        <w:t xml:space="preserve">Staff expenditure to end Dec' 21 of 3870.12 crore is 78.83% of RG, and more than COPPY by 10.66%. Utilisation of RG is high for </w:t>
      </w:r>
      <w:r>
        <w:t xml:space="preserve">Kilometer allowance (84.67%), </w:t>
      </w:r>
      <w:r>
        <w:t xml:space="preserve">Other allowances (84.98%), </w:t>
      </w:r>
      <w:r>
        <w:t xml:space="preserve">Travelling expenses (90.8%), </w:t>
      </w:r>
      <w:r>
        <w:t xml:space="preserve">Leave encashment (82.88%), </w:t>
      </w:r>
      <w:r>
        <w:t xml:space="preserve">Children education allowance (CEA) (100.93%), </w:t>
      </w:r>
      <w:r>
        <w:t xml:space="preserve">Medical reimbursement (105.01%) </w:t>
      </w:r>
      <w:r>
        <w:t>and POH-Wages: Home (88.97%).</w:t>
      </w:r>
      <w:r>
        <w:t xml:space="preserve"> Growth over last year is high for </w:t>
      </w:r>
      <w:r>
        <w:t xml:space="preserve">DA (59.82%), </w:t>
      </w:r>
      <w:r>
        <w:t xml:space="preserve">Kilometer allowance (27.97%), </w:t>
      </w:r>
      <w:r>
        <w:t xml:space="preserve">Leave encashment (28.1%) </w:t>
      </w:r>
      <w:r>
        <w:t>and Medical reimbursement (39.59%).</w:t>
      </w:r>
    </w:p>
    <w:p>
      <w:pPr>
        <w:pStyle w:val="ListBullet"/>
        <w:jc w:val="both"/>
      </w:pPr>
      <w:r>
        <w:t xml:space="preserve">Non-Staff expenditure to end Dec' 21 of 3336.71 crore is 87.86% of RG and more than COPPY by 12.42%. Utilisation of RG is high for </w:t>
      </w:r>
      <w:r>
        <w:t xml:space="preserve">Diesel traction (94.58%), </w:t>
      </w:r>
      <w:r>
        <w:t xml:space="preserve">Electric traction (85.25%), </w:t>
      </w:r>
      <w:r>
        <w:t xml:space="preserve">Electricity office (83.14%), </w:t>
      </w:r>
      <w:r>
        <w:t xml:space="preserve">Lease and other debits (86.72%), </w:t>
      </w:r>
      <w:r>
        <w:t xml:space="preserve">Coach sanitation (96.91%), </w:t>
      </w:r>
      <w:r>
        <w:t xml:space="preserve">Station sanitation (84.12%), </w:t>
      </w:r>
      <w:r>
        <w:t xml:space="preserve">Colony sanitation (80.11%), </w:t>
      </w:r>
      <w:r>
        <w:t xml:space="preserve">Rental for P &amp; T (184.12%), </w:t>
      </w:r>
      <w:r>
        <w:t xml:space="preserve">Contractual payments (84.6%), </w:t>
      </w:r>
      <w:r>
        <w:t xml:space="preserve">Transfer of debits/credits (88.59%), </w:t>
      </w:r>
      <w:r>
        <w:t xml:space="preserve">POH-Material: Home (87.54%), </w:t>
      </w:r>
      <w:r>
        <w:t xml:space="preserve">Value Added Tax (VAT) (96.67%), </w:t>
      </w:r>
      <w:r>
        <w:t xml:space="preserve">Cost of computer consumables (108.93%), </w:t>
      </w:r>
      <w:r>
        <w:t xml:space="preserve">Laptop procured by officers  (91.46%), </w:t>
      </w:r>
      <w:r>
        <w:t xml:space="preserve">Fuel from stock – Home Railway locomotives fuelled by foreign railway (98.32%), </w:t>
      </w:r>
      <w:r>
        <w:t xml:space="preserve">GTKMs debits/ credits (104.67%) </w:t>
      </w:r>
      <w:r>
        <w:t>and POH-Material: Foreign (99.08%).</w:t>
      </w:r>
      <w:r>
        <w:t xml:space="preserve"> Growth over last year is high for </w:t>
      </w:r>
      <w:r>
        <w:t xml:space="preserve">Diesel traction (94.58%), </w:t>
      </w:r>
      <w:r>
        <w:t xml:space="preserve">Electric traction (85.25%), </w:t>
      </w:r>
      <w:r>
        <w:t xml:space="preserve">Electricity office (83.14%), </w:t>
      </w:r>
      <w:r>
        <w:t xml:space="preserve">Lease and other debits (86.72%), </w:t>
      </w:r>
      <w:r>
        <w:t xml:space="preserve">Coach sanitation (96.91%), </w:t>
      </w:r>
      <w:r>
        <w:t xml:space="preserve">Station sanitation (84.12%), </w:t>
      </w:r>
      <w:r>
        <w:t xml:space="preserve">Colony sanitation (80.11%), </w:t>
      </w:r>
      <w:r>
        <w:t xml:space="preserve">Rental for P &amp; T (80.19%), </w:t>
      </w:r>
      <w:r>
        <w:t xml:space="preserve">POH-Material: Home (188.78%), </w:t>
      </w:r>
      <w:r>
        <w:t xml:space="preserve">Cost of computer consumables (22.75%), </w:t>
      </w:r>
      <w:r>
        <w:t xml:space="preserve">Fuel from stock – Home Railway locomotives fuelled by foreign railway (146.15%) </w:t>
      </w:r>
      <w:r>
        <w:t>and GTKMs debits/ credits (395.05%).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