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NCR Financial Review DEC-2021</w:t>
      </w:r>
    </w:p>
    <w:p>
      <w:pPr>
        <w:pStyle w:val="Heading1"/>
      </w:pPr>
      <w:r>
        <w:t>Revenue Expenditure:</w:t>
      </w:r>
    </w:p>
    <w:p>
      <w:pPr>
        <w:pStyle w:val="ListBullet"/>
      </w:pPr>
      <w:r>
        <w:t>The Revised Grant for Ord. Working Expenses (OWE) 2021-22, excluding suspense is Rs 8707.05 crore, more than SL by Rs. 430.10 crore and more than last year actuals by only Rs. 889.01 crore (11.37%).</w:t>
      </w:r>
    </w:p>
    <w:p>
      <w:pPr>
        <w:pStyle w:val="ListBullet"/>
      </w:pPr>
      <w:r>
        <w:t>OWE (excluding suspense) to end Jan' 22 amounts to Rs 7908.18 crore which is 90.83% of the RG, and more than COPPY by 11.99%.</w:t>
      </w:r>
    </w:p>
    <w:p>
      <w:pPr>
        <w:pStyle w:val="ListBullet"/>
        <w:jc w:val="both"/>
      </w:pPr>
      <w:r>
        <w:t xml:space="preserve">Staff expenditure to end Jan' 22 of 4300.33 crore is 87.59% of RG, and more than COPPY by 11.3%. Utilisation of RG is high for </w:t>
      </w:r>
      <w:r>
        <w:t xml:space="preserve">Kilometer allowance (95.13%), </w:t>
      </w:r>
      <w:r>
        <w:t xml:space="preserve">Other allowances (91.83%), </w:t>
      </w:r>
      <w:r>
        <w:t xml:space="preserve">Travelling expenses (101.32%), </w:t>
      </w:r>
      <w:r>
        <w:t xml:space="preserve">Medical reimbursement (114.93%) </w:t>
      </w:r>
      <w:r>
        <w:t>and POH-Wages: Home (98.51%).</w:t>
      </w:r>
      <w:r>
        <w:t xml:space="preserve"> Growth over last year is high for </w:t>
      </w:r>
      <w:r>
        <w:t xml:space="preserve">DA (62.48%), </w:t>
      </w:r>
      <w:r>
        <w:t xml:space="preserve">Kilometer allowance (27.9%), </w:t>
      </w:r>
      <w:r>
        <w:t xml:space="preserve">Travelling expenses (20.17%) </w:t>
      </w:r>
      <w:r>
        <w:t>and Medical reimbursement (40.45%).</w:t>
      </w:r>
    </w:p>
    <w:p>
      <w:pPr>
        <w:pStyle w:val="ListBullet"/>
        <w:jc w:val="both"/>
      </w:pPr>
      <w:r>
        <w:t xml:space="preserve">Non-Staff expenditure to end Jan' 22 of 3607.8500000000004 crore is 95.0% of RG and more than COPPY by 12.82%. Utilisation of RG is high for </w:t>
      </w:r>
      <w:r>
        <w:t xml:space="preserve">Diesel traction (104.38%), </w:t>
      </w:r>
      <w:r>
        <w:t xml:space="preserve">Electric traction (92.52%), </w:t>
      </w:r>
      <w:r>
        <w:t xml:space="preserve">Electricity office (92.44%), </w:t>
      </w:r>
      <w:r>
        <w:t xml:space="preserve">HSD for Gensets (89.22%), </w:t>
      </w:r>
      <w:r>
        <w:t xml:space="preserve">Lease and other debits (91.89%), </w:t>
      </w:r>
      <w:r>
        <w:t xml:space="preserve">Coach sanitation (101.58%), </w:t>
      </w:r>
      <w:r>
        <w:t xml:space="preserve">Station sanitation (94.12%), </w:t>
      </w:r>
      <w:r>
        <w:t xml:space="preserve">Colony sanitation (88.34%), </w:t>
      </w:r>
      <w:r>
        <w:t xml:space="preserve">Material-Direct Purchase (92.97%), </w:t>
      </w:r>
      <w:r>
        <w:t xml:space="preserve">Contractual payments (91.2%), </w:t>
      </w:r>
      <w:r>
        <w:t xml:space="preserve">POH-Material: Home (98.32%) </w:t>
      </w:r>
      <w:r>
        <w:t>and POH-Material: Foreign (107.88%).</w:t>
      </w:r>
      <w:r>
        <w:t xml:space="preserve"> Growth over last year is high for </w:t>
      </w:r>
      <w:r>
        <w:t xml:space="preserve">Diesel traction (104.38%), </w:t>
      </w:r>
      <w:r>
        <w:t xml:space="preserve">Advertising Expenses (24.94%) </w:t>
      </w:r>
      <w:r>
        <w:t>and POH-Material: Home (164.15%).</w:t>
      </w:r>
    </w:p>
    <w:p>
      <w:pPr>
        <w:pStyle w:val="Heading1"/>
      </w:pPr>
      <w:r>
        <w:t>CAPEX:</w:t>
      </w:r>
    </w:p>
    <w:p>
      <w:pPr>
        <w:pStyle w:val="ListBullet"/>
        <w:jc w:val="both"/>
      </w:pPr>
      <w:r>
        <w:t>Revised Grant for current year 2021-22 for CAPEX (Gross excluding suspense) is Rs. 0.0 crore. Expenditure (Gross excluding suspense) to end of Jan' 22 is Rs. 0.0 crore, which is 0 % of the RG.</w:t>
      </w:r>
    </w:p>
    <w:p>
      <w:pPr>
        <w:pStyle w:val="ListBullet"/>
      </w:pPr>
      <w:r>
        <w:t>Progress of expenditure under various sources is as under:</w:t>
      </w:r>
    </w:p>
    <w:p>
      <w:pPr>
        <w:pStyle w:val="ListBullet2"/>
        <w:jc w:val="both"/>
      </w:pPr>
      <w:r>
        <w:rPr>
          <w:b/>
        </w:rPr>
        <w:t xml:space="preserve">Capital (excluding Suspense):- </w:t>
      </w:r>
      <w:r>
        <w:t xml:space="preserve">Overall expenditure is 63.94% of RG. </w:t>
      </w:r>
      <w:r>
        <w:t xml:space="preserve">Progress under all Plan Heads is slow except under </w:t>
      </w:r>
      <w:r>
        <w:t xml:space="preserve">PH11, </w:t>
      </w:r>
      <w:r>
        <w:t xml:space="preserve">PH21, </w:t>
      </w:r>
      <w:r>
        <w:t>and PH22 where progress is more.</w:t>
      </w:r>
    </w:p>
    <w:p>
      <w:pPr>
        <w:pStyle w:val="ListBullet2"/>
        <w:jc w:val="both"/>
      </w:pPr>
      <w:r>
        <w:rPr>
          <w:b/>
        </w:rPr>
        <w:t xml:space="preserve">DF:- </w:t>
      </w:r>
      <w:r>
        <w:t xml:space="preserve">Overall expenditure is 89.97% of RG. </w:t>
      </w:r>
      <w:r>
        <w:t xml:space="preserve">Progress under all Plan Heads is high except under </w:t>
      </w:r>
      <w:r>
        <w:t xml:space="preserve">PH17, </w:t>
      </w:r>
      <w:r>
        <w:t xml:space="preserve">PH42, </w:t>
      </w:r>
      <w:r>
        <w:t xml:space="preserve">PH51, </w:t>
      </w:r>
      <w:r>
        <w:t>and PH65 where progress is slow.</w:t>
      </w:r>
    </w:p>
    <w:p>
      <w:pPr>
        <w:pStyle w:val="ListBullet2"/>
        <w:jc w:val="both"/>
      </w:pPr>
      <w:r>
        <w:rPr>
          <w:b/>
        </w:rPr>
        <w:t xml:space="preserve">DRF:- </w:t>
      </w:r>
      <w:r>
        <w:t xml:space="preserve">Overall expenditure is 93.69% of RG. </w:t>
      </w:r>
      <w:r>
        <w:t xml:space="preserve">Progress under all Plan Heads is slow except under </w:t>
      </w:r>
      <w:r>
        <w:t xml:space="preserve">PH17, </w:t>
      </w:r>
      <w:r>
        <w:t xml:space="preserve">PH41, </w:t>
      </w:r>
      <w:r>
        <w:t>and PH51 where progress is more.</w:t>
      </w:r>
    </w:p>
    <w:p>
      <w:pPr>
        <w:pStyle w:val="ListBullet2"/>
        <w:jc w:val="both"/>
      </w:pPr>
      <w:r>
        <w:rPr>
          <w:b/>
        </w:rPr>
        <w:t xml:space="preserve">RRSK:- </w:t>
      </w:r>
      <w:r>
        <w:t xml:space="preserve">Overall expenditure is 79.62% of RG. </w:t>
      </w:r>
      <w:r>
        <w:t xml:space="preserve">Progress under all Plan Heads is slow except under </w:t>
      </w:r>
      <w:r>
        <w:t>PH21 where progress is more.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