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136.png" ContentType="image/png"/>
  <Override PartName="/word/media/rId193.png" ContentType="image/png"/>
  <Override PartName="/word/media/rId79.png" ContentType="image/png"/>
  <Override PartName="/word/media/rId83.png" ContentType="image/png"/>
  <Override PartName="/word/media/rId36.png" ContentType="image/png"/>
  <Override PartName="/word/media/rId74.png" ContentType="image/png"/>
  <Override PartName="/word/media/rId69.png" ContentType="image/png"/>
  <Override PartName="/word/media/rId93.png" ContentType="image/png"/>
  <Override PartName="/word/media/rId87.png" ContentType="image/png"/>
  <Override PartName="/word/media/rId4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Computational</w:t>
      </w:r>
      <w:r>
        <w:t xml:space="preserve"> </w:t>
      </w:r>
      <w:r>
        <w:t xml:space="preserve">Approaches</w:t>
      </w:r>
      <w:r>
        <w:t xml:space="preserve"> </w:t>
      </w:r>
      <w:r>
        <w:t xml:space="preserve">to</w:t>
      </w:r>
      <w:r>
        <w:t xml:space="preserve"> </w:t>
      </w:r>
      <w:r>
        <w:t xml:space="preserve">Biofoundry-based</w:t>
      </w:r>
      <w:r>
        <w:t xml:space="preserve"> </w:t>
      </w:r>
      <w:r>
        <w:t xml:space="preserve">Protein</w:t>
      </w:r>
      <w:r>
        <w:t xml:space="preserve"> </w:t>
      </w:r>
      <w:r>
        <w:t xml:space="preserve">Engineering</w:t>
      </w:r>
      <w:r>
        <w:t xml:space="preserve"> </w:t>
      </w:r>
      <w:r>
        <w:t xml:space="preserve">and</w:t>
      </w:r>
      <w:r>
        <w:t xml:space="preserve"> </w:t>
      </w:r>
      <w:r>
        <w:t xml:space="preserve">Synthetic</w:t>
      </w:r>
      <w:r>
        <w:t xml:space="preserve"> </w:t>
      </w:r>
      <w:r>
        <w:t xml:space="preserve">Biology</w:t>
      </w:r>
    </w:p>
    <w:p>
      <w:pPr>
        <w:pStyle w:val="Author"/>
      </w:pPr>
      <w:r>
        <w:t xml:space="preserve">Aporva</w:t>
      </w:r>
      <w:r>
        <w:t xml:space="preserve"> </w:t>
      </w:r>
      <w:r>
        <w:t xml:space="preserve">Gupta</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abstract"/>
    <w:p>
      <w:pPr>
        <w:pStyle w:val="Heading1"/>
      </w:pPr>
      <w:r>
        <w:t xml:space="preserve">Abstract</w:t>
      </w:r>
    </w:p>
    <w:p>
      <w:pPr>
        <w:pStyle w:val="FirstParagraph"/>
      </w:pPr>
      <w:r>
        <w:t xml:space="preserve">#TODO</w:t>
      </w:r>
    </w:p>
    <w:bookmarkEnd w:id="20"/>
    <w:bookmarkStart w:id="22" w:name="introduction"/>
    <w:p>
      <w:pPr>
        <w:pStyle w:val="Heading1"/>
      </w:pPr>
      <w:r>
        <w:t xml:space="preserve">1. Introduction</w:t>
      </w:r>
    </w:p>
    <w:p>
      <w:pPr>
        <w:pStyle w:val="FirstParagraph"/>
      </w:pPr>
      <w:r>
        <w:t xml:space="preserve">The Design-Build-Test-Learn (DBTL) cycle, a foundational methodology of synthetic biology, adopts engineering principles to enhance reproducibility and efficiency in biological research. Yet, the Build and Test phases pose considerable challenges to their labor-intensive and time-consuming nature. For instance, the assembly of three DNA fragments often requires a week per circuit assembly by a skilled graduate student. Furthermore, optimizing the expression of a gene with promoters, RBSs, and terminator parts - three different types for each – necessitates creating and testing 27 distinct DNA combinations. This process could extend a graduate student’s workload to four to six months for the construction of an optimal genetic circuit.</w:t>
      </w:r>
    </w:p>
    <w:p>
      <w:pPr>
        <w:pStyle w:val="BodyText"/>
      </w:pPr>
      <w:r>
        <w:t xml:space="preserve">On an industrial scale, the Build and Test stages present similarly formidable challenges. The development and commercialization of Artemisinin, a treatment for malaria by Amyris, demanded an investment of $15 million and ten years, equivalent to roughly 150 person-years. Similarly, DuPont’s production of 1,3-propanediol required 575 person-years, highlighting the extensive resource commitment in synthetic biology projects [1]. These instances underline the significant time and labor investments needed to harness the benefits of synthetic biology, explaining why the field, which emerged in the early 2000s, took about a decade to prove its value.</w:t>
      </w:r>
    </w:p>
    <w:p>
      <w:pPr>
        <w:pStyle w:val="BodyText"/>
      </w:pPr>
      <w:r>
        <w:t xml:space="preserve">The incorporation of robotics into biology has significantly reduced the manual labor and time constraints traditionally associated with biological experiments. This advancement was pioneered by Dr. Ross D. King in 2004 [2], who developed the robotic scientists Adam and Eve to autonomously investigate yeast metabolism and enzyme discovery [3]. Despite their innovative potential, the application of these robotic scientists has faced limitations due to the need for specialized automation equipment tailored for specific research projects. This requirement often limits the flexibility needed to conduct a wide array of complex biological experiments, leading to significant costs and efforts to adapt commercial equipment for various research needs.</w:t>
      </w:r>
    </w:p>
    <w:p>
      <w:pPr>
        <w:pStyle w:val="BodyText"/>
      </w:pPr>
      <w:r>
        <w:t xml:space="preserve">However, the fundamental principles of synthetic biology, including standardized parts, assembly techniques, and an engineering-focused DBTL strategy, have demonstrated significant compatibility with automation and robotics. This synergy has not only enhanced research but also found practical industrial applications. A notable example is Lanzatech’s production of ethanol from greenhouse gases using its clostridiaBiofoundry (cBioFab) [4], which combines cell-free systems with machine learning technology to achieve remarkable industrial breakthroughs [5, 6] in producing 1-hexanol and hexanoic acid (&gt;100x improvement).</w:t>
      </w:r>
    </w:p>
    <w:p>
      <w:pPr>
        <w:pStyle w:val="BodyText"/>
      </w:pPr>
      <w:r>
        <w:t xml:space="preserve">A biofoundry integrates the entire DBTL cycle, from initial DNA design to testing cells modified with that DNA, by systematically linking automated hardware and software to streamline the process from gene synthesis to the final product. A key strategy in constructing an efficient biofoundry is the careful design of each DBTL stage to ensure seamless operation and eliminate bottlenecks, significantly improving development speed and throughput. For instance, Ginkgo Bioworks has shown considerable efficiency gains, with its throughput increasing two to four times annually between 2014 and 2020. In 2017, the company achieved a milestone when the cost of testing per strain became lower than that of manual handling [7]. Amyris, having launched its biofoundry in 2011, has successfully commercialized 15 new substances at a consistent rate over the last seven years [8], marking a productivity increase of more than twentyfold compared to its earlier efforts with Artemisinin. These developments underscore the transformative impact of biofoundries on synthetic biology, providing scalable and cost-efficient solutions for bioproduct development. By optimizing the bioproduct development process, biofoundries substantially reduce the time and cost associated with bringing new products to market, representing a significant advancement in biotechnological innovation.</w:t>
      </w:r>
    </w:p>
    <w:p>
      <w:pPr>
        <w:numPr>
          <w:ilvl w:val="0"/>
          <w:numId w:val="1001"/>
        </w:numPr>
      </w:pPr>
      <w:r>
        <w:t xml:space="preserve">Hodgman CE, Jewett MC (2012) Cell-free synthetic biology: thinking outside the cell. Metab Eng 14:261–269. https://doi.org/ 10.1016/j.ymben.2011.09.002</w:t>
      </w:r>
    </w:p>
    <w:p>
      <w:pPr>
        <w:numPr>
          <w:ilvl w:val="0"/>
          <w:numId w:val="1001"/>
        </w:numPr>
      </w:pPr>
      <w:r>
        <w:t xml:space="preserve">King RD, Whelan KE, Jones FM et al (2004) Functional genomic hypothesis generation and experimentation by a robot scientist. Nature 427:247–252. https://doi.org/10.1038/nature02236</w:t>
      </w:r>
    </w:p>
    <w:p>
      <w:pPr>
        <w:numPr>
          <w:ilvl w:val="0"/>
          <w:numId w:val="1001"/>
        </w:numPr>
      </w:pPr>
      <w:r>
        <w:t xml:space="preserve">King RD, Rowland J, Oliver SG et al (2009) The automation of science. Science 324:85–89. https://doi.org/10.1126/science. 1165620</w:t>
      </w:r>
    </w:p>
    <w:p>
      <w:pPr>
        <w:numPr>
          <w:ilvl w:val="0"/>
          <w:numId w:val="1001"/>
        </w:numPr>
      </w:pPr>
      <w:r>
        <w:t xml:space="preserve">Köpke M, Simpson SD (2020) Pollution to products: recycling of</w:t>
      </w:r>
      <w:r>
        <w:t xml:space="preserve"> </w:t>
      </w:r>
      <w:r>
        <w:t xml:space="preserve">“</w:t>
      </w:r>
      <w:r>
        <w:t xml:space="preserve">above ground</w:t>
      </w:r>
      <w:r>
        <w:t xml:space="preserve">”</w:t>
      </w:r>
      <w:r>
        <w:t xml:space="preserve"> </w:t>
      </w:r>
      <w:r>
        <w:t xml:space="preserve">carbon by gas fermentation. Curr Opin Biotechnol 65:180–189. https://doi.org/10.1016/j.copbio.2020.02.017</w:t>
      </w:r>
    </w:p>
    <w:p>
      <w:pPr>
        <w:numPr>
          <w:ilvl w:val="0"/>
          <w:numId w:val="1001"/>
        </w:numPr>
      </w:pPr>
      <w:r>
        <w:t xml:space="preserve">Vögeli B, Schulz L, Garg S et al (2022) Cell-free prototyping ena- bles implementation of optimized reverse β-oxidation pathways in heterotrophic and autotrophic bacteria. Nat Commun 13:3058. https://doi.org/10.1038/s41467-022-30571-6</w:t>
      </w:r>
    </w:p>
    <w:p>
      <w:pPr>
        <w:numPr>
          <w:ilvl w:val="0"/>
          <w:numId w:val="1001"/>
        </w:numPr>
      </w:pPr>
      <w:r>
        <w:t xml:space="preserve">Kim KJ, Lee SJ, Kim DM (2023) The use of cell-free protein synthesis to push the boundaries of synthetic biology. Biotechnol Bioprocess Eng. https://doi.org/10.1007/s12257-022-0279-2</w:t>
      </w:r>
    </w:p>
    <w:p>
      <w:pPr>
        <w:numPr>
          <w:ilvl w:val="0"/>
          <w:numId w:val="1001"/>
        </w:numPr>
      </w:pPr>
      <w:r>
        <w:t xml:space="preserve">Kelly J (2022) Grow with ginkgo. Ginkgo Bioworks. https://s28. q4cdn.com/823357996/files/doc_presentations/2022/01/2022.01. 12-Ginkgo-DNA-JPM-2022.pdf.</w:t>
      </w:r>
    </w:p>
    <w:p>
      <w:pPr>
        <w:numPr>
          <w:ilvl w:val="0"/>
          <w:numId w:val="1001"/>
        </w:numPr>
      </w:pPr>
      <w:hyperlink r:id="rId21">
        <w:r>
          <w:rPr>
            <w:rStyle w:val="Hyperlink"/>
          </w:rPr>
          <w:t xml:space="preserve">https://www.cowen.com/transactions/amyris-inc-6-4-2020/</w:t>
        </w:r>
      </w:hyperlink>
    </w:p>
    <w:bookmarkEnd w:id="22"/>
    <w:bookmarkStart w:id="66" w:name="X27aee4e3756165a7a33bb902bebf9bf41e4751c"/>
    <w:p>
      <w:pPr>
        <w:pStyle w:val="Heading1"/>
      </w:pPr>
      <w:r>
        <w:t xml:space="preserve">2. Computational Tools for Streamlined Biofoundry Workflows</w:t>
      </w:r>
    </w:p>
    <w:bookmarkStart w:id="23" w:name="introduction-1"/>
    <w:p>
      <w:pPr>
        <w:pStyle w:val="Heading2"/>
      </w:pPr>
      <w:r>
        <w:t xml:space="preserve">2.1 Introduction</w:t>
      </w:r>
    </w:p>
    <w:p>
      <w:pPr>
        <w:pStyle w:val="FirstParagraph"/>
      </w:pPr>
      <w:r>
        <w:t xml:space="preserve">Various molecular experiments have been significantly streamlined with the advent of machines that can replace arduous laboratory work. For example, even simple gel electrophoresis experiments can be left to E-gel Electrophoresis systems (Invitrogen, ThermoFisher) for a small number of samples or fragment analyzers (Agilent) when working at scale. By leveraging such advanced technologies, researchers can focus on data interpretation and experimental design.</w:t>
      </w:r>
    </w:p>
    <w:p>
      <w:pPr>
        <w:pStyle w:val="BodyText"/>
      </w:pPr>
      <w:r>
        <w:t xml:space="preserve">In a biofoundry, it is typical to find such machines, each playing a specialized role in the overall experimental strategy</w:t>
      </w:r>
      <w:r>
        <w:rPr>
          <w:vertAlign w:val="superscript"/>
        </w:rPr>
        <w:t xml:space="preserve">1</w:t>
      </w:r>
      <w:r>
        <w:t xml:space="preserve">. However, when dealing with a diverse array of equipment from various manufacturers, it is common to encounter a range of challenges. These devices often require different inputs, feature distinct user interfaces (UIs) that each come with their own learning curves, utilize various file formats, and may have incompatible data structures</w:t>
      </w:r>
      <w:r>
        <w:rPr>
          <w:vertAlign w:val="superscript"/>
        </w:rPr>
        <w:t xml:space="preserve">2</w:t>
      </w:r>
      <w:r>
        <w:t xml:space="preserve">. Such discrepancies can significantly reduce the efficiency of workflows by requiring constant supervision and hinder the overall productivity of research efforts. An example of these costs can be illustrated by Amyris’ artemisinin project. This five-year, $20 million initiative reportedly dedicates 95% of its time to identifying and addressing unintended interactions between various components</w:t>
      </w:r>
      <w:r>
        <w:rPr>
          <w:vertAlign w:val="superscript"/>
        </w:rPr>
        <w:t xml:space="preserve">3</w:t>
      </w:r>
      <w:r>
        <w:t xml:space="preserve">.</w:t>
      </w:r>
    </w:p>
    <w:p>
      <w:pPr>
        <w:pStyle w:val="BodyText"/>
      </w:pPr>
      <w:r>
        <w:t xml:space="preserve">To address these challenges, the field of bio-design automation (BDA) was conceptualized. Modeled after electronic-design automation (EDA), which revolutionized the electronic industry by creating software tools for designing and managing complex electronic systems, BDA aims to enhance the efficiency and scalability of biological research and engineering</w:t>
      </w:r>
      <w:r>
        <w:rPr>
          <w:vertAlign w:val="superscript"/>
        </w:rPr>
        <w:t xml:space="preserve">4</w:t>
      </w:r>
      <w:r>
        <w:t xml:space="preserve">. This field fosters an interdisciplinary community that brings together biologists, engineers, computer scientists, and data analysts, all collaborating to address specific challenges within synthetic biology workflows. By identifying and tackling subproblems, BDA encourages the development of specialized software tools that support the design, construction, and testing of biological systems</w:t>
      </w:r>
      <w:r>
        <w:rPr>
          <w:vertAlign w:val="superscript"/>
        </w:rPr>
        <w:t xml:space="preserve">5</w:t>
      </w:r>
      <w:r>
        <w:t xml:space="preserve">. These tools not only streamline experimental processes but also facilitate the iterative refinement of biological constructs, ultimately enabling researchers to innovate more rapidly and effectively.</w:t>
      </w:r>
    </w:p>
    <w:p>
      <w:pPr>
        <w:pStyle w:val="BodyText"/>
      </w:pPr>
      <w:r>
        <w:t xml:space="preserve">For a biofoundry that necessitates the development of diverse workflows tailored to multiple applications, the adoption of open-source software is critical. Recent efforts include, SynBiopython</w:t>
      </w:r>
      <w:r>
        <w:rPr>
          <w:vertAlign w:val="superscript"/>
        </w:rPr>
        <w:t xml:space="preserve">6</w:t>
      </w:r>
      <w:r>
        <w:t xml:space="preserve"> </w:t>
      </w:r>
      <w:r>
        <w:t xml:space="preserve">focuses on the standardize the file formats and tool interoperability, and BioNumpy</w:t>
      </w:r>
      <w:r>
        <w:rPr>
          <w:vertAlign w:val="superscript"/>
        </w:rPr>
        <w:t xml:space="preserve">7</w:t>
      </w:r>
      <w:r>
        <w:t xml:space="preserve"> </w:t>
      </w:r>
      <w:r>
        <w:t xml:space="preserve">allows for array programming of biological data. Open-source solutions by rapidly-prototyping software offer the advantage of seamless integration of various modules and expand the range of workflows.</w:t>
      </w:r>
    </w:p>
    <w:p>
      <w:pPr>
        <w:pStyle w:val="BodyText"/>
      </w:pPr>
      <w:r>
        <w:t xml:space="preserve">This chapter, addresses the considerations for a biofoundry and the development of workflows, software and tools to streamline processes common in synthetic biology. Here the tools for data visualization, analysis, logging, sharing, modelling, machine operatability are exhibited. The chapter focuses on tools programmed using Python, with user interfaces developed on Streamlit, which provide a base for further chapters.</w:t>
      </w:r>
    </w:p>
    <w:bookmarkEnd w:id="23"/>
    <w:bookmarkStart w:id="29" w:name="X31d2513e6f971bdb9de651084771213c25ba8bf"/>
    <w:p>
      <w:pPr>
        <w:pStyle w:val="Heading2"/>
      </w:pPr>
      <w:r>
        <w:t xml:space="preserve">2.2 Considerations required for biofoundry development</w:t>
      </w:r>
    </w:p>
    <w:bookmarkStart w:id="24" w:name="hardware"/>
    <w:p>
      <w:pPr>
        <w:pStyle w:val="Heading3"/>
      </w:pPr>
      <w:r>
        <w:t xml:space="preserve">2.2.1 Hardware</w:t>
      </w:r>
    </w:p>
    <w:p>
      <w:pPr>
        <w:pStyle w:val="FirstParagraph"/>
      </w:pPr>
      <w:r>
        <w:t xml:space="preserve">The concept of a biofoundry often evokes images of automated robotics operating within a biological laboratory. Given this association, automation is deemed essential for the development of biofoundries. However, the deployment of advanced automation machinery, including robotic arms, in fully automated biofoundries requires careful attention to planning</w:t>
      </w:r>
      <w:r>
        <w:rPr>
          <w:vertAlign w:val="superscript"/>
        </w:rPr>
        <w:t xml:space="preserve">8</w:t>
      </w:r>
      <w:r>
        <w:t xml:space="preserve">. While devices like liquid handlers are crucial for high-throughput well plate-based experiments, incorporating robotic arms with other automated devices, such as automated thermal cyclers or automated incubators, significantly raises both initial and ongoing maintenance costs. Adopting a semi-automated DBTL cycle is one of the strategies that offer maximum flexibility at minimal cost.</w:t>
      </w:r>
    </w:p>
    <w:p>
      <w:pPr>
        <w:pStyle w:val="BodyText"/>
      </w:pPr>
      <w:r>
        <w:t xml:space="preserve">Currently, the availability of automated equipment is restricted to a handful of global companies. To broaden the options for users and ensure the provision of high-quality services, ongoing development of such equipment is essential. This necessitates long-term and continuous investment, supported by governmental policies, especially given the current limited market availability. One way to reduce costs is to make use of community labs and open DIY hardware</w:t>
      </w:r>
      <w:r>
        <w:rPr>
          <w:vertAlign w:val="superscript"/>
        </w:rPr>
        <w:t xml:space="preserve">9</w:t>
      </w:r>
      <w:r>
        <w:t xml:space="preserve">. However, these rely on availability of material and cannot be implemented for long-term projects. The emphasis in hardware development should be on enhancing the connectivity and flexibility of devices to boost the overall efficiency of the DBTL cycle, rather than focusing solely on individual device specifications.</w:t>
      </w:r>
    </w:p>
    <w:p>
      <w:pPr>
        <w:pStyle w:val="BodyText"/>
      </w:pPr>
      <w:r>
        <w:t xml:space="preserve">Furthermore, an increase in hardware throughput does not guarantee an improvement in overall biofoundry performance. One of the major reasons automated equipment may remain underutilized or idle in universities or research institutions is that data management and analysis are failed to keep pace with the hardware’s throughput. In this context, the workflows and software discussed in the subsequent chapters are pivotal considerations prior to hardware deployment.</w:t>
      </w:r>
    </w:p>
    <w:bookmarkEnd w:id="24"/>
    <w:bookmarkStart w:id="25" w:name="workflows"/>
    <w:p>
      <w:pPr>
        <w:pStyle w:val="Heading3"/>
      </w:pPr>
      <w:r>
        <w:t xml:space="preserve">2.2.2 Workflows</w:t>
      </w:r>
    </w:p>
    <w:p>
      <w:pPr>
        <w:pStyle w:val="FirstParagraph"/>
      </w:pPr>
      <w:r>
        <w:t xml:space="preserve">Before delving further into biofoundry development, it’s necessary to define some key terms associated with biofoundry operation for ease of understanding. We introduce two fundamental terms:</w:t>
      </w:r>
      <w:r>
        <w:t xml:space="preserve"> </w:t>
      </w:r>
      <w:r>
        <w:t xml:space="preserve">‘</w:t>
      </w:r>
      <w:r>
        <w:t xml:space="preserve">workflow</w:t>
      </w:r>
      <w:r>
        <w:t xml:space="preserve">’</w:t>
      </w:r>
      <w:r>
        <w:t xml:space="preserve"> </w:t>
      </w:r>
      <w:r>
        <w:t xml:space="preserve">and</w:t>
      </w:r>
      <w:r>
        <w:t xml:space="preserve"> </w:t>
      </w:r>
      <w:r>
        <w:t xml:space="preserve">‘</w:t>
      </w:r>
      <w:r>
        <w:t xml:space="preserve">unit process.</w:t>
      </w:r>
      <w:r>
        <w:t xml:space="preserve">’</w:t>
      </w:r>
      <w:r>
        <w:t xml:space="preserve"> </w:t>
      </w:r>
      <w:r>
        <w:t xml:space="preserve">A unit process is the smallest protocol executed by an automated machine, while a workflow is a sequence of unit processes organized to produce a desired product. The terms</w:t>
      </w:r>
      <w:r>
        <w:t xml:space="preserve"> </w:t>
      </w:r>
      <w:r>
        <w:t xml:space="preserve">‘</w:t>
      </w:r>
      <w:r>
        <w:t xml:space="preserve">protocol</w:t>
      </w:r>
      <w:r>
        <w:t xml:space="preserve">’</w:t>
      </w:r>
      <w:r>
        <w:t xml:space="preserve"> </w:t>
      </w:r>
      <w:r>
        <w:t xml:space="preserve">and</w:t>
      </w:r>
      <w:r>
        <w:t xml:space="preserve"> </w:t>
      </w:r>
      <w:r>
        <w:t xml:space="preserve">‘</w:t>
      </w:r>
      <w:r>
        <w:t xml:space="preserve">process</w:t>
      </w:r>
      <w:r>
        <w:t xml:space="preserve">’</w:t>
      </w:r>
      <w:r>
        <w:t xml:space="preserve"> </w:t>
      </w:r>
      <w:r>
        <w:t xml:space="preserve">are employed broadly. Both unit processes and workflows can be formulated as standard operating procedures (SOPs) which are detailed instructions designed to standardize and enhance the reproducibility of operations.</w:t>
      </w:r>
    </w:p>
    <w:p>
      <w:pPr>
        <w:pStyle w:val="BodyText"/>
      </w:pPr>
      <w:r>
        <w:t xml:space="preserve">In constructing a biofoundry, workflows are developed by re-optimizing established manual protocols. Manual protocols frequently overlook or oversimplify sample preparation, deemed apparent. Conversely, automated protocols demand more detailed specifications, including the quantity, position, and handing of reagents and equipment, especially when using multi-well plates.</w:t>
      </w:r>
    </w:p>
    <w:p>
      <w:pPr>
        <w:pStyle w:val="BodyText"/>
      </w:pPr>
      <w:r>
        <w:t xml:space="preserve">Developing a workflow involves assessing the level of automation feasible with the available equipment and consumables. The initial level may resemble manual operations, progressing to the use of liquid handlers capable of managing experiments based on 96 or 384-well plates. Utilizing high-throughput equipment not only enhances experiment throughput but also improves reproducibility. Establishing quantitatively measurable metrics within the tier system is crucial for ensuring the reliability and interoperability of workflows.</w:t>
      </w:r>
    </w:p>
    <w:p>
      <w:pPr>
        <w:pStyle w:val="BodyText"/>
      </w:pPr>
      <w:r>
        <w:t xml:space="preserve">To enhance a biofoundry’s efficiency, it’s essential to reduce the operational costs associated with workflows and enable the simultaneous running of multiple workflows, which is key to maximizing efficiency and productivity. This challenge can be tackled in two ways. One approach is consolidating samples onto a single plate when different researchers request the same workflow. Alternatively, when different workflows are requested, they can be integrated by considering the run times of each unit process and scheduled as a single workflow. These scheduling strategies, more suitable for semi-automated biofoundries, are essential for enhancing biofoundry performance, given the limited number of machines. Additionally, waste in research, often due to avoidable design flaws or incomplete experiments, is a significant concern. Over 50% of research remains unpublished, half of which is attributable to preventable errors</w:t>
      </w:r>
      <w:r>
        <w:rPr>
          <w:vertAlign w:val="superscript"/>
        </w:rPr>
        <w:t xml:space="preserve">10</w:t>
      </w:r>
      <w:r>
        <w:t xml:space="preserve">. An integrated biofoundry can minimize these mistakes by facilitating more informed decisions from a broader range of experiments.</w:t>
      </w:r>
    </w:p>
    <w:bookmarkEnd w:id="25"/>
    <w:bookmarkStart w:id="26" w:name="key-gaps-in-workflows"/>
    <w:p>
      <w:pPr>
        <w:pStyle w:val="Heading3"/>
      </w:pPr>
      <w:r>
        <w:t xml:space="preserve">2.2.3 Key Gaps in workflows:</w:t>
      </w:r>
    </w:p>
    <w:p>
      <w:pPr>
        <w:numPr>
          <w:ilvl w:val="0"/>
          <w:numId w:val="1002"/>
        </w:numPr>
      </w:pPr>
      <w:r>
        <w:rPr>
          <w:bCs/>
          <w:b/>
        </w:rPr>
        <w:t xml:space="preserve">Fragmented Workflows</w:t>
      </w:r>
      <w:r>
        <w:t xml:space="preserve">: Many biofoundries have disjointed processes across different stages of research and production, making it challenging to maintain a seamless flow from design to implementation.</w:t>
      </w:r>
    </w:p>
    <w:p>
      <w:pPr>
        <w:numPr>
          <w:ilvl w:val="0"/>
          <w:numId w:val="1002"/>
        </w:numPr>
      </w:pPr>
      <w:r>
        <w:rPr>
          <w:bCs/>
          <w:b/>
        </w:rPr>
        <w:t xml:space="preserve">Lack of Standard Operating Procedures (SOPs)</w:t>
      </w:r>
      <w:r>
        <w:t xml:space="preserve">: Inconsistent or absent SOPs can lead to variability in experiments, making reproducibility difficult and complicating data comparison.</w:t>
      </w:r>
    </w:p>
    <w:p>
      <w:pPr>
        <w:numPr>
          <w:ilvl w:val="0"/>
          <w:numId w:val="1002"/>
        </w:numPr>
      </w:pPr>
      <w:r>
        <w:rPr>
          <w:bCs/>
          <w:b/>
        </w:rPr>
        <w:t xml:space="preserve">Integration of Automation</w:t>
      </w:r>
      <w:r>
        <w:t xml:space="preserve">: While automation is essential for scaling processes, many workflows do not fully integrate automated systems, leading to inefficiencies and increased manual work.</w:t>
      </w:r>
    </w:p>
    <w:p>
      <w:pPr>
        <w:numPr>
          <w:ilvl w:val="0"/>
          <w:numId w:val="1002"/>
        </w:numPr>
      </w:pPr>
      <w:r>
        <w:rPr>
          <w:bCs/>
          <w:b/>
        </w:rPr>
        <w:t xml:space="preserve">Data Management and Sharing</w:t>
      </w:r>
      <w:r>
        <w:t xml:space="preserve">: Ineffective data management practices can result in difficulties in data access and sharing among team members, hampering collaboration and progress.</w:t>
      </w:r>
    </w:p>
    <w:p>
      <w:pPr>
        <w:numPr>
          <w:ilvl w:val="0"/>
          <w:numId w:val="1002"/>
        </w:numPr>
      </w:pPr>
      <w:r>
        <w:rPr>
          <w:bCs/>
          <w:b/>
        </w:rPr>
        <w:t xml:space="preserve">Feedback Loops</w:t>
      </w:r>
      <w:r>
        <w:t xml:space="preserve">: There may be insufficient mechanisms for feedback between different stages of the workflow, preventing insights from experimental results from being effectively integrated into future designs.</w:t>
      </w:r>
    </w:p>
    <w:p>
      <w:pPr>
        <w:numPr>
          <w:ilvl w:val="0"/>
          <w:numId w:val="1002"/>
        </w:numPr>
      </w:pPr>
      <w:r>
        <w:rPr>
          <w:bCs/>
          <w:b/>
        </w:rPr>
        <w:t xml:space="preserve">Cross-Disciplinary Collaboration</w:t>
      </w:r>
      <w:r>
        <w:t xml:space="preserve">: Workflows often lack structures that promote collaboration across disciplines, which is crucial in a multidisciplinary field like synthetic biology.</w:t>
      </w:r>
    </w:p>
    <w:p>
      <w:pPr>
        <w:numPr>
          <w:ilvl w:val="0"/>
          <w:numId w:val="1002"/>
        </w:numPr>
      </w:pPr>
      <w:r>
        <w:rPr>
          <w:bCs/>
          <w:b/>
        </w:rPr>
        <w:t xml:space="preserve">Real-Time Monitoring</w:t>
      </w:r>
      <w:r>
        <w:t xml:space="preserve">: Many workflows do not incorporate real-time monitoring and analytics, which can help in making timely adjustments and decisions during experiments.</w:t>
      </w:r>
    </w:p>
    <w:p>
      <w:pPr>
        <w:numPr>
          <w:ilvl w:val="0"/>
          <w:numId w:val="1002"/>
        </w:numPr>
      </w:pPr>
      <w:r>
        <w:rPr>
          <w:bCs/>
          <w:b/>
        </w:rPr>
        <w:t xml:space="preserve">Scalability Protocols</w:t>
      </w:r>
      <w:r>
        <w:t xml:space="preserve">: Procedures for scaling up from lab-scale experiments to large-scale production are often underdeveloped, posing challenges for commercialization.</w:t>
      </w:r>
    </w:p>
    <w:p>
      <w:pPr>
        <w:numPr>
          <w:ilvl w:val="0"/>
          <w:numId w:val="1002"/>
        </w:numPr>
      </w:pPr>
      <w:r>
        <w:rPr>
          <w:bCs/>
          <w:b/>
        </w:rPr>
        <w:t xml:space="preserve">Training and Onboarding</w:t>
      </w:r>
      <w:r>
        <w:t xml:space="preserve">: Inefficient onboarding processes for new personnel can slow down productivity and lead to misunderstandings about protocols and workflows.</w:t>
      </w:r>
    </w:p>
    <w:bookmarkEnd w:id="26"/>
    <w:bookmarkStart w:id="27" w:name="software"/>
    <w:p>
      <w:pPr>
        <w:pStyle w:val="Heading3"/>
      </w:pPr>
      <w:r>
        <w:t xml:space="preserve">2.2.4 Software</w:t>
      </w:r>
    </w:p>
    <w:p>
      <w:pPr>
        <w:pStyle w:val="FirstParagraph"/>
      </w:pPr>
      <w:r>
        <w:t xml:space="preserve">Despite the increasing necessity for constructing biofoundries, the availability of software specifically designed for biofoundry operations remains limited. While some existing solutions for Electronic Laboratory Notebooks (ELN) or Laboratory Information Management Systems (LIMS)</w:t>
      </w:r>
      <w:r>
        <w:rPr>
          <w:vertAlign w:val="superscript"/>
        </w:rPr>
        <w:t xml:space="preserve">11</w:t>
      </w:r>
      <w:r>
        <w:t xml:space="preserve"> </w:t>
      </w:r>
      <w:r>
        <w:t xml:space="preserve">are available, they often do not meet the unique requirements of biofoundry operations comprehensively. Furthermore, the cost of these solutions can be prohibitive for use in an extensively scaled biofoundry environment with a large team.</w:t>
      </w:r>
    </w:p>
    <w:p>
      <w:pPr>
        <w:pStyle w:val="BodyText"/>
      </w:pPr>
      <w:r>
        <w:t xml:space="preserve">Developing software for biofoundry operations is indispensable. Creating software that coordinates biological experiments across various stages of the DBTL cycle requires the collaborative, intensive efforts of IT engineers and biologists. To address this challenge, we advocate for a</w:t>
      </w:r>
      <w:r>
        <w:t xml:space="preserve"> </w:t>
      </w:r>
      <w:r>
        <w:t xml:space="preserve">‘</w:t>
      </w:r>
      <w:r>
        <w:t xml:space="preserve">rapid prototyping and soft integration strategy.</w:t>
      </w:r>
      <w:r>
        <w:t xml:space="preserve">’</w:t>
      </w:r>
      <w:r>
        <w:t xml:space="preserve"> </w:t>
      </w:r>
      <w:r>
        <w:t xml:space="preserve">This approach emphasizes the quick development of specific functionalities necessary for biofoundry operations and their integration with existing tools, like Snapgene and GitLab. Modern frameworks for developing web-based applications, such as Python’s Streamlit or R’s Shiny, are invaluable for rapidly producing streamlined software applications. Integrated Development Environments (IDEs) like Visual Studio Code (VSCode) or RStudio are instrumental in managing the entire DBTL cycle, thereby significantly boosting the efficiency and synchronization of biofoundry operations. This approach of</w:t>
      </w:r>
      <w:r>
        <w:t xml:space="preserve"> </w:t>
      </w:r>
      <w:r>
        <w:t xml:space="preserve">‘</w:t>
      </w:r>
      <w:r>
        <w:t xml:space="preserve">rapid prototyping and soft integration</w:t>
      </w:r>
      <w:r>
        <w:t xml:space="preserve">’</w:t>
      </w:r>
      <w:r>
        <w:t xml:space="preserve"> </w:t>
      </w:r>
      <w:r>
        <w:t xml:space="preserve">underscores the importance of continuous software maintenance and updates to support equipment and technological advancements, alongside evolving scientific interests.</w:t>
      </w:r>
    </w:p>
    <w:p>
      <w:pPr>
        <w:pStyle w:val="BodyText"/>
      </w:pPr>
      <w:r>
        <w:t xml:space="preserve">Concerning the functional requirements of biofoundry software, a major challenge in biofoundry design is operational costs. It is imperative to reduce the consumption of consumables, time, and labor in individual workflows. Initially, efforts should concentrate on optimizing workflows within a semi-automated system. Software that persistently monitors the availability of automated equipment and materials plays a vital role in maximizing resource use and coordinating the execution of workflows from various users. Moreover, given the extensive number of samples processed by a biofoundry, its operational software must manage a significantly larger volume of equipment, materials, experiments, and operations than a conventional laboratory. This necessitates a seamless system to ensure equipment availability, smooth supply of materials, and swift data analysis for designing subsequent high-throughput experiments. Furthermore, constructing an operational system capable of controlling automated devices from diverse manufacturers requires APIs that can translate the interactions between user-designed workflows and automated equipment into a universally understandable language, such as JSON.</w:t>
      </w:r>
    </w:p>
    <w:p>
      <w:pPr>
        <w:pStyle w:val="BodyText"/>
      </w:pPr>
      <w:r>
        <w:t xml:space="preserve">While these endeavors can be demanding and might necessitate collaboration with equipment vendors, initiating software development that monitors equipment status and suggests optimized workflows in a semi-automated system is feasible. The adaptability and compatibility offered by such a system are crucial for enhancing accessibility and interoperability among biofoundry facilities.</w:t>
      </w:r>
    </w:p>
    <w:bookmarkEnd w:id="27"/>
    <w:bookmarkStart w:id="28" w:name="key-gaps-in-software"/>
    <w:p>
      <w:pPr>
        <w:pStyle w:val="Heading3"/>
      </w:pPr>
      <w:r>
        <w:t xml:space="preserve">2.2.5 Key Gaps in Software</w:t>
      </w:r>
    </w:p>
    <w:p>
      <w:pPr>
        <w:numPr>
          <w:ilvl w:val="0"/>
          <w:numId w:val="1003"/>
        </w:numPr>
        <w:pStyle w:val="Compact"/>
      </w:pPr>
      <w:r>
        <w:rPr>
          <w:bCs/>
          <w:b/>
        </w:rPr>
        <w:t xml:space="preserve">Data Integration</w:t>
      </w:r>
      <w:r>
        <w:t xml:space="preserve">: Many biofoundries utilize disparate systems for data collection and analysis, leading to challenges in integrating and interpreting data from various sources.</w:t>
      </w:r>
    </w:p>
    <w:p>
      <w:pPr>
        <w:numPr>
          <w:ilvl w:val="0"/>
          <w:numId w:val="1003"/>
        </w:numPr>
        <w:pStyle w:val="Compact"/>
      </w:pPr>
      <w:r>
        <w:rPr>
          <w:bCs/>
          <w:b/>
        </w:rPr>
        <w:t xml:space="preserve">User-Friendly Interfaces</w:t>
      </w:r>
      <w:r>
        <w:t xml:space="preserve">: Existing software often lacks intuitive interfaces, making it difficult for non-experts to use advanced tools and access data effectively.</w:t>
      </w:r>
    </w:p>
    <w:p>
      <w:pPr>
        <w:numPr>
          <w:ilvl w:val="0"/>
          <w:numId w:val="1003"/>
        </w:numPr>
        <w:pStyle w:val="Compact"/>
      </w:pPr>
      <w:r>
        <w:rPr>
          <w:bCs/>
          <w:b/>
        </w:rPr>
        <w:t xml:space="preserve">Collaboration Tools</w:t>
      </w:r>
      <w:r>
        <w:t xml:space="preserve">: There is often a shortage of robust collaboration platforms that facilitate communication and project management among multidisciplinary teams.</w:t>
      </w:r>
    </w:p>
    <w:p>
      <w:pPr>
        <w:numPr>
          <w:ilvl w:val="0"/>
          <w:numId w:val="1003"/>
        </w:numPr>
        <w:pStyle w:val="Compact"/>
      </w:pPr>
      <w:r>
        <w:rPr>
          <w:bCs/>
          <w:b/>
        </w:rPr>
        <w:t xml:space="preserve">Standardized Workflows</w:t>
      </w:r>
      <w:r>
        <w:t xml:space="preserve">: A lack of standardized software workflows can lead to inconsistencies in experimental processes and results, hindering reproducibility.</w:t>
      </w:r>
    </w:p>
    <w:p>
      <w:pPr>
        <w:numPr>
          <w:ilvl w:val="0"/>
          <w:numId w:val="1003"/>
        </w:numPr>
        <w:pStyle w:val="Compact"/>
      </w:pPr>
      <w:r>
        <w:rPr>
          <w:bCs/>
          <w:b/>
        </w:rPr>
        <w:t xml:space="preserve">Simulation and Modeling Tools</w:t>
      </w:r>
      <w:r>
        <w:t xml:space="preserve">: Advanced tools for simulating biological processes and modeling systems biology are often limited or not user-friendly, which restricts their use in design and optimization.</w:t>
      </w:r>
    </w:p>
    <w:p>
      <w:pPr>
        <w:numPr>
          <w:ilvl w:val="0"/>
          <w:numId w:val="1003"/>
        </w:numPr>
        <w:pStyle w:val="Compact"/>
      </w:pPr>
      <w:r>
        <w:rPr>
          <w:bCs/>
          <w:b/>
        </w:rPr>
        <w:t xml:space="preserve">Automated Data Analysis</w:t>
      </w:r>
      <w:r>
        <w:t xml:space="preserve">: There is a need for more sophisticated software solutions for automated data analysis and interpretation, particularly for large datasets generated by high-throughput experiments.</w:t>
      </w:r>
    </w:p>
    <w:p>
      <w:pPr>
        <w:numPr>
          <w:ilvl w:val="0"/>
          <w:numId w:val="1003"/>
        </w:numPr>
        <w:pStyle w:val="Compact"/>
      </w:pPr>
      <w:r>
        <w:rPr>
          <w:bCs/>
          <w:b/>
        </w:rPr>
        <w:t xml:space="preserve">Visualization Tools</w:t>
      </w:r>
      <w:r>
        <w:t xml:space="preserve">: Enhanced visualization software is often needed to effectively represent complex biological data and results, making them more accessible to researchers and stakeholders.</w:t>
      </w:r>
    </w:p>
    <w:p>
      <w:pPr>
        <w:numPr>
          <w:ilvl w:val="0"/>
          <w:numId w:val="1003"/>
        </w:numPr>
        <w:pStyle w:val="Compact"/>
      </w:pPr>
      <w:r>
        <w:rPr>
          <w:bCs/>
          <w:b/>
        </w:rPr>
        <w:t xml:space="preserve">Version Control</w:t>
      </w:r>
      <w:r>
        <w:t xml:space="preserve">: Effective version control systems for experimental protocols, data, and software tools are often not well-integrated, leading to potential errors and confusion.</w:t>
      </w:r>
    </w:p>
    <w:p>
      <w:pPr>
        <w:numPr>
          <w:ilvl w:val="0"/>
          <w:numId w:val="1003"/>
        </w:numPr>
        <w:pStyle w:val="Compact"/>
      </w:pPr>
      <w:r>
        <w:rPr>
          <w:bCs/>
          <w:b/>
        </w:rPr>
        <w:t xml:space="preserve">Interoperability</w:t>
      </w:r>
      <w:r>
        <w:t xml:space="preserve">: Many biofoundry software tools lack interoperability, making it difficult to exchange data and functionalities between different platforms and tools</w:t>
      </w:r>
    </w:p>
    <w:p>
      <w:pPr>
        <w:numPr>
          <w:ilvl w:val="0"/>
          <w:numId w:val="1003"/>
        </w:numPr>
        <w:pStyle w:val="Compact"/>
      </w:pPr>
      <w:r>
        <w:rPr>
          <w:bCs/>
          <w:b/>
        </w:rPr>
        <w:t xml:space="preserve">Regulatory Compliance</w:t>
      </w:r>
      <w:r>
        <w:t xml:space="preserve">: Software solutions that aid in ensuring compliance with regulatory requirements are often lacking, making it difficult to manage documentation and quality control.</w:t>
      </w:r>
    </w:p>
    <w:bookmarkEnd w:id="28"/>
    <w:bookmarkEnd w:id="29"/>
    <w:bookmarkStart w:id="63" w:name="computational-tools"/>
    <w:p>
      <w:pPr>
        <w:pStyle w:val="Heading2"/>
      </w:pPr>
      <w:r>
        <w:t xml:space="preserve">2.3 Computational Tools:</w:t>
      </w:r>
    </w:p>
    <w:bookmarkStart w:id="35" w:name="tools-for-data-logging-and-collaboration"/>
    <w:p>
      <w:pPr>
        <w:pStyle w:val="Heading3"/>
      </w:pPr>
      <w:r>
        <w:t xml:space="preserve">2.3.1 Tools for Data Logging and Collaboration:</w:t>
      </w:r>
    </w:p>
    <w:p>
      <w:pPr>
        <w:pStyle w:val="CaptionedFigure"/>
      </w:pPr>
      <w:r>
        <w:drawing>
          <wp:inline>
            <wp:extent cx="3352800" cy="4203975"/>
            <wp:effectExtent b="0" l="0" r="0" t="0"/>
            <wp:docPr descr="Software and applications for Data Logs and Collaboration" title="" id="31" name="Picture"/>
            <a:graphic>
              <a:graphicData uri="http://schemas.openxmlformats.org/drawingml/2006/picture">
                <pic:pic>
                  <pic:nvPicPr>
                    <pic:cNvPr descr="chapters/images/server_outline.png" id="32" name="Picture"/>
                    <pic:cNvPicPr>
                      <a:picLocks noChangeArrowheads="1" noChangeAspect="1"/>
                    </pic:cNvPicPr>
                  </pic:nvPicPr>
                  <pic:blipFill>
                    <a:blip r:embed="rId30"/>
                    <a:stretch>
                      <a:fillRect/>
                    </a:stretch>
                  </pic:blipFill>
                  <pic:spPr bwMode="auto">
                    <a:xfrm>
                      <a:off x="0" y="0"/>
                      <a:ext cx="3352800" cy="4203975"/>
                    </a:xfrm>
                    <a:prstGeom prst="rect">
                      <a:avLst/>
                    </a:prstGeom>
                    <a:noFill/>
                    <a:ln w="9525">
                      <a:noFill/>
                      <a:headEnd/>
                      <a:tailEnd/>
                    </a:ln>
                  </pic:spPr>
                </pic:pic>
              </a:graphicData>
            </a:graphic>
          </wp:inline>
        </w:drawing>
      </w:r>
    </w:p>
    <w:p>
      <w:pPr>
        <w:pStyle w:val="ImageCaption"/>
      </w:pPr>
      <w:r>
        <w:t xml:space="preserve">Software and applications for Data Logs and Collaboration</w:t>
      </w:r>
    </w:p>
    <w:bookmarkStart w:id="33" w:name="electronic-lab-notebooks"/>
    <w:p>
      <w:pPr>
        <w:pStyle w:val="Heading4"/>
      </w:pPr>
      <w:r>
        <w:t xml:space="preserve">2.3.1.1 Electronic Lab Notebooks:</w:t>
      </w:r>
    </w:p>
    <w:p>
      <w:pPr>
        <w:pStyle w:val="FirstParagraph"/>
      </w:pPr>
      <w:r>
        <w:t xml:space="preserve">Electronic Lab Notebooks (ELNs) are essential tools in modern research environments, offering several key advantages over traditional paper notebooks. They facilitate efficient data management by allowing researchers to easily organize, store, and retrieve experimental data. ELNs enhance collaboration among team members by enabling real-time sharing and commenting on data, which fosters greater communication and collective insights. Moreover, they improve data integrity and reproducibility through built-in version control and automated backups, reducing the risk of data loss or errors. ELNs also streamline compliance with regulatory requirements by providing secure, auditable records of experiments. Additionally, their integration with other digital tools and platforms can enhance workflows and automate routine tasks, ultimately increasing productivity and accelerating the research process[</w:t>
      </w:r>
      <w:r>
        <w:rPr>
          <w:vertAlign w:val="superscript"/>
        </w:rPr>
        <w:t xml:space="preserve">11</w:t>
      </w:r>
      <w:r>
        <w:t xml:space="preserve">]</w:t>
      </w:r>
      <w:r>
        <w:rPr>
          <w:vertAlign w:val="superscript"/>
        </w:rPr>
        <w:t xml:space="preserve">12</w:t>
      </w:r>
      <w:r>
        <w:t xml:space="preserve">.</w:t>
      </w:r>
    </w:p>
    <w:p>
      <w:pPr>
        <w:pStyle w:val="BodyText"/>
      </w:pPr>
      <w:r>
        <w:t xml:space="preserve">While there are free options for ELN software, many vendors limit data storage, file sizes, and the number of users, which can hinder larger teams or projects. Portability of files can also be a concern depending upon the ELN provider; for example if it ceases operations or raises prices, users may only receive a PDF export of their data, complicating transitions to other platforms. Although infrequent, security breaches, are a potential risk that users should be aware of. Additionally, not all electronic solutions cater to every lab’s needs; for example, some ELNs do not integrate with specific biotools like CRISPR/Cas9 genome editing software. Furthermore, user experience can vary significantly; many reviews point out issues with nonintuitive interfaces and the need for extensive training, which can slow down effective implementation in the lab</w:t>
      </w:r>
      <w:r>
        <w:rPr>
          <w:vertAlign w:val="superscript"/>
        </w:rPr>
        <w:t xml:space="preserve">13</w:t>
      </w:r>
      <w:r>
        <w:t xml:space="preserve">.</w:t>
      </w:r>
    </w:p>
    <w:p>
      <w:pPr>
        <w:pStyle w:val="BodyText"/>
      </w:pPr>
      <w:r>
        <w:t xml:space="preserve">Here, we describe using Visual Studio (VS) Code along with quarto markdown files as an ELN. VS Code is compatible with most types of files. VS Code allows for the creation of Markdown files, which can be used to document experiments, protocols, and results in a structured and easily readable format. The built-in version control system (Git) enables users to track changes over time, making it simple to maintain a history of experiments and revisions. Open-sourced extensions allow integration of other software such as Docker, GitHub, and Notion which can be standardized through a free account.</w:t>
      </w:r>
    </w:p>
    <w:p>
      <w:pPr>
        <w:pStyle w:val="BodyText"/>
      </w:pPr>
      <w:r>
        <w:t xml:space="preserve">Moreover, integration of Jupyter Notebooks allow for interactive data analysis and visualization, integrating coding directly with documentation. This can be particularly useful for analyzing data using programming languages such as Python or R. Users can also benefit from VS Code’s robust search capabilities, making it easy to locate specific notes or data points across multiple files. Overall, using VS Code as an ELN combines flexibility, organization, and collaboration, making it a compelling choice for researchers looking to streamline their documentation processes.</w:t>
      </w:r>
    </w:p>
    <w:bookmarkEnd w:id="33"/>
    <w:bookmarkStart w:id="34" w:name="version-control"/>
    <w:p>
      <w:pPr>
        <w:pStyle w:val="Heading4"/>
      </w:pPr>
      <w:r>
        <w:t xml:space="preserve">2.3.1.2 Version Control:</w:t>
      </w:r>
    </w:p>
    <w:p>
      <w:pPr>
        <w:pStyle w:val="FirstParagraph"/>
      </w:pPr>
      <w:r>
        <w:t xml:space="preserve">Collaboration is streamlined on GitHub, as multiple team members can work on the same project simultaneously. Additionally, the ability to store files in cloud-based repositories (like GitHub or GitLab) ensures data portability and accessibility, even if the original workspace changes. This allows users to track changes over time, providing a clear history of modifications, which is essential for reproducibility and accountability. Users can create branches to explore new ideas or experiment with changes without affecting the main content. Pull requests enable thorough discussions and reviews of proposed changes before merging, ensuring that all contributions are vetted and enhancing the quality of the documentation.</w:t>
      </w:r>
    </w:p>
    <w:p>
      <w:pPr>
        <w:pStyle w:val="BodyText"/>
      </w:pPr>
      <w:r>
        <w:t xml:space="preserve">GitHub also supports Markdown, making it easy to format notes for clarity and readability. With features like issue tracking, users can manage tasks and monitor project progress efficiently. The platform’s cloud-based storage ensures that data is accessible from anywhere, minimizing the risk of loss. Overall, using GitHub for version control in an ELN not only improves organization and collaboration but also enhances the integrity and transparency of the research process.</w:t>
      </w:r>
    </w:p>
    <w:p>
      <w:pPr>
        <w:pStyle w:val="BodyText"/>
      </w:pPr>
      <w:r>
        <w:t xml:space="preserve">Using Docker to share workflow environments offers a powerful solution for ensuring consistency and reproducibility in research and development projects. Docker allows users to create containerized environments that encapsulate all necessary dependencies, libraries, and configurations required to run a specific application or workflow. This means that researchers can share their entire computational environment, ensuring that collaborators can run the same code with the same results, regardless of their local setups.</w:t>
      </w:r>
    </w:p>
    <w:p>
      <w:pPr>
        <w:pStyle w:val="BodyText"/>
      </w:pPr>
      <w:r>
        <w:t xml:space="preserve">By creating a Docker image, users can package their workflows along with any required software, making it easy to distribute and deploy on any system that supports Docker. This eliminates the common</w:t>
      </w:r>
      <w:r>
        <w:t xml:space="preserve"> </w:t>
      </w:r>
      <w:r>
        <w:t xml:space="preserve">“</w:t>
      </w:r>
      <w:r>
        <w:t xml:space="preserve">it works on my machine</w:t>
      </w:r>
      <w:r>
        <w:t xml:space="preserve">”</w:t>
      </w:r>
      <w:r>
        <w:t xml:space="preserve"> </w:t>
      </w:r>
      <w:r>
        <w:t xml:space="preserve">problem, as the container will behave the same way on any platform. Additionally, Docker supports versioning, allowing teams to track changes in their environment over time and roll back to previous configurations if needed.</w:t>
      </w:r>
      <w:r>
        <w:rPr>
          <w:vertAlign w:val="superscript"/>
        </w:rPr>
        <w:t xml:space="preserve">14</w:t>
      </w:r>
      <w:r>
        <w:t xml:space="preserve">,</w:t>
      </w:r>
      <w:r>
        <w:rPr>
          <w:vertAlign w:val="superscript"/>
        </w:rPr>
        <w:t xml:space="preserve">15</w:t>
      </w:r>
    </w:p>
    <w:p>
      <w:pPr>
        <w:pStyle w:val="BodyText"/>
      </w:pPr>
      <w:r>
        <w:t xml:space="preserve">Models and datasets can be uploaded on AI sharing platforms such as Huggingface.</w:t>
      </w:r>
    </w:p>
    <w:bookmarkEnd w:id="34"/>
    <w:bookmarkEnd w:id="35"/>
    <w:bookmarkStart w:id="43" w:name="design-tools"/>
    <w:p>
      <w:pPr>
        <w:pStyle w:val="Heading3"/>
      </w:pPr>
      <w:r>
        <w:t xml:space="preserve">2.3.2 Design Tools:</w:t>
      </w:r>
    </w:p>
    <w:p>
      <w:pPr>
        <w:pStyle w:val="FirstParagraph"/>
      </w:pPr>
      <w:r>
        <w:t xml:space="preserve">When managing a large number of samples, the design of DNA fragments can become a complex and cumbersome process. This challenge is exacerbated by the need to ensure specificity and efficiency in fragment design, which is crucial for downstream applications such as cloning, sequencing, or synthetic biology. As sample numbers increase, the potential for human error also rises, leading to inconsistencies that can compromise experimental outcomes. Moreover, the iterative nature of fragment design often necessitates multiple rounds of optimization, further extending the time and resources required for successful implementation. Consequently, the integration of automated design tools and software that can handle bulk DNA fragment design may prove invaluable. Such tools can streamline the process, enhance accuracy, and significantly reduce the workload associated with designing DNA fragments across numerous samples, thereby improving overall productivity in molecular biology workflows.</w:t>
      </w:r>
    </w:p>
    <w:p>
      <w:pPr>
        <w:pStyle w:val="BodyText"/>
      </w:pPr>
      <w:r>
        <w:drawing>
          <wp:inline>
            <wp:extent cx="5334000" cy="3934918"/>
            <wp:effectExtent b="0" l="0" r="0" t="0"/>
            <wp:docPr descr="" title="" id="37" name="Picture"/>
            <a:graphic>
              <a:graphicData uri="http://schemas.openxmlformats.org/drawingml/2006/picture">
                <pic:pic>
                  <pic:nvPicPr>
                    <pic:cNvPr descr="chapters/images/design_tools.png" id="38" name="Picture"/>
                    <pic:cNvPicPr>
                      <a:picLocks noChangeArrowheads="1" noChangeAspect="1"/>
                    </pic:cNvPicPr>
                  </pic:nvPicPr>
                  <pic:blipFill>
                    <a:blip r:embed="rId36"/>
                    <a:stretch>
                      <a:fillRect/>
                    </a:stretch>
                  </pic:blipFill>
                  <pic:spPr bwMode="auto">
                    <a:xfrm>
                      <a:off x="0" y="0"/>
                      <a:ext cx="5334000" cy="3934918"/>
                    </a:xfrm>
                    <a:prstGeom prst="rect">
                      <a:avLst/>
                    </a:prstGeom>
                    <a:noFill/>
                    <a:ln w="9525">
                      <a:noFill/>
                      <a:headEnd/>
                      <a:tailEnd/>
                    </a:ln>
                  </pic:spPr>
                </pic:pic>
              </a:graphicData>
            </a:graphic>
          </wp:inline>
        </w:drawing>
      </w:r>
    </w:p>
    <w:bookmarkStart w:id="40" w:name="in-silico-mutant-generator"/>
    <w:p>
      <w:pPr>
        <w:pStyle w:val="Heading4"/>
      </w:pPr>
      <w:r>
        <w:t xml:space="preserve">2.3.2.1</w:t>
      </w:r>
      <w:r>
        <w:t xml:space="preserve"> </w:t>
      </w:r>
      <w:r>
        <w:rPr>
          <w:iCs/>
          <w:i/>
        </w:rPr>
        <w:t xml:space="preserve">In-silico</w:t>
      </w:r>
      <w:r>
        <w:t xml:space="preserve"> </w:t>
      </w:r>
      <w:r>
        <w:t xml:space="preserve">Mutant Generator:</w:t>
      </w:r>
    </w:p>
    <w:p>
      <w:pPr>
        <w:pStyle w:val="FirstParagraph"/>
      </w:pPr>
      <w:r>
        <w:t xml:space="preserve">Optimizing DNA fragments in synthetic biology is a crucial step in the development of efficient and functional biological systems, necessitating the creation of a diverse array of mutant candidates to explore variations that can enhance performance. The traditional approaches to generating these mutants are often labor-intensive and resource-consuming, posing significant challenges in terms of time and scalability. In response to these limitations, we have developed an innovative in-silico mutant library generator that harnesses computational power to simulate a broad spectrum of mutations across selected DNA sequences. This generator creates a library of a predefined size introduces various types of mutations, including point mutations, insertions, and deletions in each mutant. By integrating it with machine learning approaches trained on extensive datasets, this tool can be used to identify appropriate optimized candidates.</w:t>
      </w:r>
    </w:p>
    <w:p>
      <w:pPr>
        <w:pStyle w:val="SourceCode"/>
      </w:pPr>
      <w:r>
        <w:rPr>
          <w:rStyle w:val="VerbatimChar"/>
        </w:rPr>
        <w:t xml:space="preserve"># Pseudocode for in-silico mutant generator</w:t>
      </w:r>
      <w:r>
        <w:br/>
      </w:r>
      <w:r>
        <w:rPr>
          <w:rStyle w:val="VerbatimChar"/>
        </w:rPr>
        <w:t xml:space="preserve">INPUT: Target DNA Sequence (FASTA file / string) </w:t>
      </w:r>
      <w:r>
        <w:br/>
      </w:r>
      <w:r>
        <w:rPr>
          <w:rStyle w:val="VerbatimChar"/>
        </w:rPr>
        <w:t xml:space="preserve">OUPUT: Mutant Library (FASTA file)</w:t>
      </w:r>
      <w:r>
        <w:br/>
      </w:r>
      <w:r>
        <w:br/>
      </w:r>
      <w:r>
        <w:rPr>
          <w:rStyle w:val="VerbatimChar"/>
        </w:rPr>
        <w:t xml:space="preserve">FUNCTION GenerateMutantLibrary(originalSequence, mutLibSize, numMutants):</w:t>
      </w:r>
      <w:r>
        <w:br/>
      </w:r>
      <w:r>
        <w:rPr>
          <w:rStyle w:val="VerbatimChar"/>
        </w:rPr>
        <w:t xml:space="preserve">    mutantLibrary = []  # List to store mutants</w:t>
      </w:r>
      <w:r>
        <w:br/>
      </w:r>
      <w:r>
        <w:br/>
      </w:r>
      <w:r>
        <w:rPr>
          <w:rStyle w:val="VerbatimChar"/>
        </w:rPr>
        <w:t xml:space="preserve">    FOR x FROM 1 to mutLibSize:</w:t>
      </w:r>
      <w:r>
        <w:br/>
      </w:r>
      <w:r>
        <w:rPr>
          <w:rStyle w:val="VerbatimChar"/>
        </w:rPr>
        <w:t xml:space="preserve">        FOR i FROM 1 TO numMutants:</w:t>
      </w:r>
      <w:r>
        <w:br/>
      </w:r>
      <w:r>
        <w:rPr>
          <w:rStyle w:val="VerbatimChar"/>
        </w:rPr>
        <w:t xml:space="preserve">            # Start with the original sequence</w:t>
      </w:r>
      <w:r>
        <w:br/>
      </w:r>
      <w:r>
        <w:rPr>
          <w:rStyle w:val="VerbatimChar"/>
        </w:rPr>
        <w:t xml:space="preserve">            mutantSequence = originalSequence  </w:t>
      </w:r>
      <w:r>
        <w:br/>
      </w:r>
      <w:r>
        <w:br/>
      </w:r>
      <w:r>
        <w:rPr>
          <w:rStyle w:val="VerbatimChar"/>
        </w:rPr>
        <w:t xml:space="preserve">            # Mutate a random sequence with random base</w:t>
      </w:r>
      <w:r>
        <w:br/>
      </w:r>
      <w:r>
        <w:rPr>
          <w:rStyle w:val="VerbatimChar"/>
        </w:rPr>
        <w:t xml:space="preserve">            position = RandomPosition(originalSequence.length)</w:t>
      </w:r>
      <w:r>
        <w:br/>
      </w:r>
      <w:r>
        <w:rPr>
          <w:rStyle w:val="VerbatimChar"/>
        </w:rPr>
        <w:t xml:space="preserve">            newBase = RandomBase(exclude=originalSequence[position])</w:t>
      </w:r>
      <w:r>
        <w:br/>
      </w:r>
      <w:r>
        <w:rPr>
          <w:rStyle w:val="VerbatimChar"/>
        </w:rPr>
        <w:t xml:space="preserve">            mutantSequence[position] = newBase</w:t>
      </w:r>
      <w:r>
        <w:br/>
      </w:r>
      <w:r>
        <w:rPr>
          <w:rStyle w:val="VerbatimChar"/>
        </w:rPr>
        <w:t xml:space="preserve">    </w:t>
      </w:r>
      <w:r>
        <w:br/>
      </w:r>
      <w:r>
        <w:rPr>
          <w:rStyle w:val="VerbatimChar"/>
        </w:rPr>
        <w:t xml:space="preserve">            # Store mutant DNA and AA sequences</w:t>
      </w:r>
      <w:r>
        <w:br/>
      </w:r>
      <w:r>
        <w:rPr>
          <w:rStyle w:val="VerbatimChar"/>
        </w:rPr>
        <w:t xml:space="preserve">            mutantLibrary.append((DNAmutantSequence, AAmutantSequence))</w:t>
      </w:r>
      <w:r>
        <w:br/>
      </w:r>
      <w:r>
        <w:br/>
      </w:r>
      <w:r>
        <w:rPr>
          <w:rStyle w:val="VerbatimChar"/>
        </w:rPr>
        <w:t xml:space="preserve">    RETURN mutantLibrary</w:t>
      </w:r>
    </w:p>
    <w:p>
      <w:pPr>
        <w:pStyle w:val="FirstParagraph"/>
      </w:pPr>
      <w:r>
        <w:t xml:space="preserve">A simple user interface (UI) for the algorithm is available at</w:t>
      </w:r>
      <w:r>
        <w:t xml:space="preserve"> </w:t>
      </w:r>
      <w:hyperlink r:id="rId39">
        <w:r>
          <w:rPr>
            <w:rStyle w:val="Hyperlink"/>
          </w:rPr>
          <w:t xml:space="preserve">https://insilicomutantlib.streamlit.app/</w:t>
        </w:r>
      </w:hyperlink>
    </w:p>
    <w:bookmarkEnd w:id="40"/>
    <w:bookmarkStart w:id="42" w:name="primer-design"/>
    <w:p>
      <w:pPr>
        <w:pStyle w:val="Heading4"/>
      </w:pPr>
      <w:r>
        <w:t xml:space="preserve">2.3.2.2 Primer design:</w:t>
      </w:r>
    </w:p>
    <w:p>
      <w:pPr>
        <w:pStyle w:val="FirstParagraph"/>
      </w:pPr>
      <w:r>
        <w:t xml:space="preserve">Site-directed mutagenesis (SDM) is a technique used to introduce specific nucleotide changes into a DNA sequence, allowing researchers to study gene function, protein interactions, and other biological processes. Automating the primer design process for SDM can significantly enhance efficiency and accuracy. The algorithm generates primers in a way that accommodates various assembly techniques, including Gibson assembly, staggered Gibson assembly, and ligation assembly, for site-directed mutagenesis (SDM). For Gibson assembly, the primers are designed to be completely overlapping regions with the target mutation at the middle, facilitating the seamless integration of DNA fragments in a single reaction. In the case of staggered Gibson assembly, the algorithm designs one primer with the mutated base, and the other primer has 10bp of a flanking region. For ligation assembly, the primers are crafted to produce compatible ends, ensuring effective joining of the mutated fragments using DNA ligase. The tool can generate primers for a large number of mutants, even those containing multiple mutations, using the output from the in-silico mutant library. This capability is particularly advantageous in high-throughput experimental settings where researchers aim to explore a diverse array of genetic modifications simultaneously.</w:t>
      </w:r>
    </w:p>
    <w:p>
      <w:pPr>
        <w:pStyle w:val="BodyText"/>
      </w:pPr>
      <w:r>
        <w:t xml:space="preserve">The tool also designs primers for multiplexed barcode sequencing, a process elaborated upon in Chapter 4. Users can input their specific target sequences into the tool, which then generates complementary primers optimized for those sequences. A key feature of this tool is its ability to incorporate pre-defined barcodes into the primers, allowing for the simultaneous analysis of multiple samples in a single sequencing run.</w:t>
      </w:r>
    </w:p>
    <w:p>
      <w:pPr>
        <w:pStyle w:val="BodyText"/>
      </w:pPr>
      <w:r>
        <w:t xml:space="preserve">First, the melting temperature (Tm) is carefully calculated and adjusted to promote efficient annealing to the target DNA. This optimization helps ensure that the primers will bind effectively under the chosen PCR conditions, thereby increasing the likelihood of successful amplification. Additionally, the GC content of each primer is tailored to fall within an ideal range, typically between 40% and 60%. This balance enhances the stability of the primer-template duplex, improving the fidelity of the resulting PCR product. Importantly, the design process avoids incorporating thymine at the 3’ end of the primers, as this can lead to non-specific binding and reduced efficiency in the amplification process.</w:t>
      </w:r>
      <w:r>
        <w:br/>
      </w:r>
    </w:p>
    <w:p>
      <w:pPr>
        <w:pStyle w:val="SourceCode"/>
      </w:pPr>
      <w:r>
        <w:br/>
      </w:r>
      <w:r>
        <w:rPr>
          <w:rStyle w:val="VerbatimChar"/>
        </w:rPr>
        <w:t xml:space="preserve"># Pseudocode for primer design for SDM</w:t>
      </w:r>
      <w:r>
        <w:br/>
      </w:r>
      <w:r>
        <w:rPr>
          <w:rStyle w:val="VerbatimChar"/>
        </w:rPr>
        <w:t xml:space="preserve">FUNCTION DesignPrimers(targetSequence, mutation, assemblyType):</w:t>
      </w:r>
      <w:r>
        <w:br/>
      </w:r>
      <w:r>
        <w:rPr>
          <w:rStyle w:val="VerbatimChar"/>
        </w:rPr>
        <w:t xml:space="preserve">    # Initialize empty lists for primers</w:t>
      </w:r>
      <w:r>
        <w:br/>
      </w:r>
      <w:r>
        <w:rPr>
          <w:rStyle w:val="VerbatimChar"/>
        </w:rPr>
        <w:t xml:space="preserve">    forwardPrimer = []</w:t>
      </w:r>
      <w:r>
        <w:br/>
      </w:r>
      <w:r>
        <w:rPr>
          <w:rStyle w:val="VerbatimChar"/>
        </w:rPr>
        <w:t xml:space="preserve">    reversePrimer = []</w:t>
      </w:r>
      <w:r>
        <w:br/>
      </w:r>
      <w:r>
        <w:br/>
      </w:r>
      <w:r>
        <w:rPr>
          <w:rStyle w:val="VerbatimChar"/>
        </w:rPr>
        <w:t xml:space="preserve">    # Determine mutation position</w:t>
      </w:r>
      <w:r>
        <w:br/>
      </w:r>
      <w:r>
        <w:rPr>
          <w:rStyle w:val="VerbatimChar"/>
        </w:rPr>
        <w:t xml:space="preserve">    mutationPosition = FindMutationPosition(targetSequence, mutation)</w:t>
      </w:r>
      <w:r>
        <w:br/>
      </w:r>
      <w:r>
        <w:br/>
      </w:r>
      <w:r>
        <w:rPr>
          <w:rStyle w:val="VerbatimChar"/>
        </w:rPr>
        <w:t xml:space="preserve">    # Generate forward primer with mutation</w:t>
      </w:r>
      <w:r>
        <w:br/>
      </w:r>
      <w:r>
        <w:rPr>
          <w:rStyle w:val="VerbatimChar"/>
        </w:rPr>
        <w:t xml:space="preserve">    IF assemblyType == "Gibson Assembly":</w:t>
      </w:r>
      <w:r>
        <w:br/>
      </w:r>
      <w:r>
        <w:rPr>
          <w:rStyle w:val="VerbatimChar"/>
        </w:rPr>
        <w:t xml:space="preserve">        forwardPrimer = [mutationPosition - 10:mutationPosition] + mutation + [mutationPosition:mutationPosition + 10]</w:t>
      </w:r>
      <w:r>
        <w:br/>
      </w:r>
      <w:r>
        <w:rPr>
          <w:rStyle w:val="VerbatimChar"/>
        </w:rPr>
        <w:t xml:space="preserve">        reversePrimer = reverseComplementaryDNA(forwardPrimer)</w:t>
      </w:r>
      <w:r>
        <w:br/>
      </w:r>
      <w:r>
        <w:rPr>
          <w:rStyle w:val="VerbatimChar"/>
        </w:rPr>
        <w:t xml:space="preserve">        forwardPrimer_final, reversePrimer_final = optimizePrimers(forwardPrimer, reversePrimer)</w:t>
      </w:r>
      <w:r>
        <w:br/>
      </w:r>
      <w:r>
        <w:rPr>
          <w:rStyle w:val="VerbatimChar"/>
        </w:rPr>
        <w:t xml:space="preserve">    </w:t>
      </w:r>
      <w:r>
        <w:br/>
      </w:r>
      <w:r>
        <w:rPr>
          <w:rStyle w:val="VerbatimChar"/>
        </w:rPr>
        <w:t xml:space="preserve">    ELSE IF assemblyType == "Staggered Gibson Assembly":</w:t>
      </w:r>
      <w:r>
        <w:br/>
      </w:r>
      <w:r>
        <w:rPr>
          <w:rStyle w:val="VerbatimChar"/>
        </w:rPr>
        <w:t xml:space="preserve">        forwardPrimer = [mutationPosition - 10:mutationPosition] + mutation + [mutationPosition:mutationPosition + 15]</w:t>
      </w:r>
      <w:r>
        <w:br/>
      </w:r>
      <w:r>
        <w:rPr>
          <w:rStyle w:val="VerbatimChar"/>
        </w:rPr>
        <w:t xml:space="preserve">        reversePrimer = reverseComplementaryDNA(mutationPosition:mutationPosition + 15)</w:t>
      </w:r>
      <w:r>
        <w:br/>
      </w:r>
      <w:r>
        <w:rPr>
          <w:rStyle w:val="VerbatimChar"/>
        </w:rPr>
        <w:t xml:space="preserve">        forwardPrimer_final, reversePrimer_final = optimizePrimers(forwardPrimer, reversePrimer)</w:t>
      </w:r>
      <w:r>
        <w:br/>
      </w:r>
      <w:r>
        <w:br/>
      </w:r>
      <w:r>
        <w:rPr>
          <w:rStyle w:val="VerbatimChar"/>
        </w:rPr>
        <w:t xml:space="preserve">    ELSE IF assemblyType == "Ligation Assembly":</w:t>
      </w:r>
      <w:r>
        <w:br/>
      </w:r>
      <w:r>
        <w:rPr>
          <w:rStyle w:val="VerbatimChar"/>
        </w:rPr>
        <w:t xml:space="preserve">        forwardPrimer = [mutationPosition - 10:mutationPosition] + mutation + [mutationPosition:mutationPosition + 10]</w:t>
      </w:r>
      <w:r>
        <w:br/>
      </w:r>
      <w:r>
        <w:rPr>
          <w:rStyle w:val="VerbatimChar"/>
        </w:rPr>
        <w:t xml:space="preserve">        reversePrimer = reverseComplementaryDNA(mutationPosition + 10: mutationPosition + 30)</w:t>
      </w:r>
      <w:r>
        <w:br/>
      </w:r>
      <w:r>
        <w:rPr>
          <w:rStyle w:val="VerbatimChar"/>
        </w:rPr>
        <w:t xml:space="preserve">        forwardPrimer_final, reversePrimer_final = optimizePrimers(forwardPrimer, reversePrimer)</w:t>
      </w:r>
      <w:r>
        <w:br/>
      </w:r>
      <w:r>
        <w:br/>
      </w:r>
      <w:r>
        <w:rPr>
          <w:rStyle w:val="VerbatimChar"/>
        </w:rPr>
        <w:t xml:space="preserve">    RETURN (forwardPrimer_final, reversePrimer_final)</w:t>
      </w:r>
      <w:r>
        <w:br/>
      </w:r>
      <w:r>
        <w:br/>
      </w:r>
      <w:r>
        <w:br/>
      </w:r>
      <w:r>
        <w:rPr>
          <w:rStyle w:val="VerbatimChar"/>
        </w:rPr>
        <w:t xml:space="preserve">FUNCTION PrimersMutantLibrary(FASTAfile, mutations, assemblyType)   </w:t>
      </w:r>
      <w:r>
        <w:br/>
      </w:r>
      <w:r>
        <w:rPr>
          <w:rStyle w:val="VerbatimChar"/>
        </w:rPr>
        <w:t xml:space="preserve">    sequences = read(FASTAfile)</w:t>
      </w:r>
      <w:r>
        <w:br/>
      </w:r>
      <w:r>
        <w:rPr>
          <w:rStyle w:val="VerbatimChar"/>
        </w:rPr>
        <w:t xml:space="preserve">    primerList = []</w:t>
      </w:r>
      <w:r>
        <w:br/>
      </w:r>
      <w:r>
        <w:br/>
      </w:r>
      <w:r>
        <w:rPr>
          <w:rStyle w:val="VerbatimChar"/>
        </w:rPr>
        <w:t xml:space="preserve">    FOR sequence in sequences:</w:t>
      </w:r>
      <w:r>
        <w:br/>
      </w:r>
      <w:r>
        <w:rPr>
          <w:rStyle w:val="VerbatimChar"/>
        </w:rPr>
        <w:t xml:space="preserve">        FOR eachMutation in mutations:</w:t>
      </w:r>
      <w:r>
        <w:br/>
      </w:r>
      <w:r>
        <w:rPr>
          <w:rStyle w:val="VerbatimChar"/>
        </w:rPr>
        <w:t xml:space="preserve">            primers = DesignPrimers(sequence, eachMutation, assemblyType)</w:t>
      </w:r>
      <w:r>
        <w:br/>
      </w:r>
      <w:r>
        <w:rPr>
          <w:rStyle w:val="VerbatimChar"/>
        </w:rPr>
        <w:t xml:space="preserve">        primerList = [primers]</w:t>
      </w:r>
      <w:r>
        <w:br/>
      </w:r>
      <w:r>
        <w:br/>
      </w:r>
      <w:r>
        <w:rPr>
          <w:rStyle w:val="VerbatimChar"/>
        </w:rPr>
        <w:t xml:space="preserve">    RETURN (primerList)</w:t>
      </w:r>
      <w:r>
        <w:br/>
      </w:r>
      <w:r>
        <w:rPr>
          <w:rStyle w:val="VerbatimChar"/>
        </w:rPr>
        <w:t xml:space="preserve">    </w:t>
      </w:r>
    </w:p>
    <w:p>
      <w:pPr>
        <w:pStyle w:val="SourceCode"/>
      </w:pPr>
      <w:r>
        <w:br/>
      </w:r>
      <w:r>
        <w:rPr>
          <w:rStyle w:val="VerbatimChar"/>
        </w:rPr>
        <w:t xml:space="preserve"># Pseudocode for barcode primer design</w:t>
      </w:r>
      <w:r>
        <w:br/>
      </w:r>
      <w:r>
        <w:rPr>
          <w:rStyle w:val="VerbatimChar"/>
        </w:rPr>
        <w:t xml:space="preserve">FUNCTION BarcodePrimers(frontPrimer, reversePrimer, forwardBarcodeList, reverseBarcodeList):</w:t>
      </w:r>
      <w:r>
        <w:br/>
      </w:r>
      <w:r>
        <w:rPr>
          <w:rStyle w:val="VerbatimChar"/>
        </w:rPr>
        <w:t xml:space="preserve">    FOR barcode in forwardBarcodeList:</w:t>
      </w:r>
      <w:r>
        <w:br/>
      </w:r>
      <w:r>
        <w:rPr>
          <w:rStyle w:val="VerbatimChar"/>
        </w:rPr>
        <w:t xml:space="preserve">        barcodedForwardPrimer = frontPrimer + barcode</w:t>
      </w:r>
      <w:r>
        <w:br/>
      </w:r>
      <w:r>
        <w:rPr>
          <w:rStyle w:val="VerbatimChar"/>
        </w:rPr>
        <w:t xml:space="preserve">    forwardPrimerList = [barcodedForwardPrimer]</w:t>
      </w:r>
      <w:r>
        <w:br/>
      </w:r>
      <w:r>
        <w:br/>
      </w:r>
      <w:r>
        <w:rPr>
          <w:rStyle w:val="VerbatimChar"/>
        </w:rPr>
        <w:t xml:space="preserve">    FOR barcode in reverseBarcodeList:</w:t>
      </w:r>
      <w:r>
        <w:br/>
      </w:r>
      <w:r>
        <w:rPr>
          <w:rStyle w:val="VerbatimChar"/>
        </w:rPr>
        <w:t xml:space="preserve">        barcodedReversePrimer = reversePrimer + barcode</w:t>
      </w:r>
      <w:r>
        <w:br/>
      </w:r>
      <w:r>
        <w:rPr>
          <w:rStyle w:val="VerbatimChar"/>
        </w:rPr>
        <w:t xml:space="preserve">    reversePrimerList = [barcodedReversePrimer]</w:t>
      </w:r>
      <w:r>
        <w:br/>
      </w:r>
      <w:r>
        <w:br/>
      </w:r>
      <w:r>
        <w:rPr>
          <w:rStyle w:val="VerbatimChar"/>
        </w:rPr>
        <w:t xml:space="preserve">    forwardPrimer_final, reversePrimer_final = optimizePrimers(forwardPrimerList, reversePrimerList)</w:t>
      </w:r>
      <w:r>
        <w:br/>
      </w:r>
      <w:r>
        <w:br/>
      </w:r>
      <w:r>
        <w:rPr>
          <w:rStyle w:val="VerbatimChar"/>
        </w:rPr>
        <w:t xml:space="preserve">    RETURN (forwardPrimer_final, reversePrimer_final)</w:t>
      </w:r>
    </w:p>
    <w:p>
      <w:pPr>
        <w:pStyle w:val="FirstParagraph"/>
      </w:pPr>
      <w:r>
        <w:t xml:space="preserve">A simple user interface (UI) for the algorithm is available at</w:t>
      </w:r>
      <w:r>
        <w:t xml:space="preserve"> </w:t>
      </w:r>
      <w:hyperlink r:id="rId41">
        <w:r>
          <w:rPr>
            <w:rStyle w:val="Hyperlink"/>
          </w:rPr>
          <w:t xml:space="preserve">https://mutprimergen.streamlit.app/</w:t>
        </w:r>
      </w:hyperlink>
    </w:p>
    <w:bookmarkEnd w:id="42"/>
    <w:bookmarkEnd w:id="43"/>
    <w:bookmarkStart w:id="45" w:name="machine-interoperability"/>
    <w:p>
      <w:pPr>
        <w:pStyle w:val="Heading3"/>
      </w:pPr>
      <w:r>
        <w:t xml:space="preserve">2.3.3 Machine Interoperability:</w:t>
      </w:r>
    </w:p>
    <w:p>
      <w:pPr>
        <w:pStyle w:val="FirstParagraph"/>
      </w:pPr>
      <w:r>
        <w:t xml:space="preserve">Most automated machines feature user interfaces designed to facilitate the mapping of wells for essential laboratory tasks such as aspirating, dispensing, and mixing liquids. These interfaces simplify the process by allowing users to visually select and configure the wells according to their experimental needs. Additionally, many of these systems can operate using CSV (Comma-Separated Values) files, which contain critical information, including Source Well, Destination Well, and Volume. When faced with complex workflows involving numerous samples, utilizing an automated script to map the samples in a CSV file can significantly enhance efficiency and accuracy. Workflows can be organized to work continuously in this manner. The script for the same is available on</w:t>
      </w:r>
      <w:r>
        <w:t xml:space="preserve"> </w:t>
      </w:r>
      <w:hyperlink r:id="rId44">
        <w:r>
          <w:rPr>
            <w:rStyle w:val="Hyperlink"/>
          </w:rPr>
          <w:t xml:space="preserve">https://github.com/aputron/streamlitapps/tree/main</w:t>
        </w:r>
      </w:hyperlink>
    </w:p>
    <w:bookmarkEnd w:id="45"/>
    <w:bookmarkStart w:id="50" w:name="analysis-tools"/>
    <w:p>
      <w:pPr>
        <w:pStyle w:val="Heading3"/>
      </w:pPr>
      <w:r>
        <w:t xml:space="preserve">2.3.4 Analysis Tools:</w:t>
      </w:r>
    </w:p>
    <w:bookmarkStart w:id="49" w:name="nanopore-analysis"/>
    <w:p>
      <w:pPr>
        <w:pStyle w:val="Heading4"/>
      </w:pPr>
      <w:r>
        <w:t xml:space="preserve">2.3.4.1 Nanopore Analysis:</w:t>
      </w:r>
    </w:p>
    <w:p>
      <w:pPr>
        <w:pStyle w:val="FirstParagraph"/>
      </w:pPr>
      <w:r>
        <w:drawing>
          <wp:inline>
            <wp:extent cx="5334000" cy="3805719"/>
            <wp:effectExtent b="0" l="0" r="0" t="0"/>
            <wp:docPr descr="" title="" id="47" name="Picture"/>
            <a:graphic>
              <a:graphicData uri="http://schemas.openxmlformats.org/drawingml/2006/picture">
                <pic:pic>
                  <pic:nvPicPr>
                    <pic:cNvPr descr="chapters/images/nanopore_analysis.png" id="48" name="Picture"/>
                    <pic:cNvPicPr>
                      <a:picLocks noChangeArrowheads="1" noChangeAspect="1"/>
                    </pic:cNvPicPr>
                  </pic:nvPicPr>
                  <pic:blipFill>
                    <a:blip r:embed="rId46"/>
                    <a:stretch>
                      <a:fillRect/>
                    </a:stretch>
                  </pic:blipFill>
                  <pic:spPr bwMode="auto">
                    <a:xfrm>
                      <a:off x="0" y="0"/>
                      <a:ext cx="5334000" cy="3805719"/>
                    </a:xfrm>
                    <a:prstGeom prst="rect">
                      <a:avLst/>
                    </a:prstGeom>
                    <a:noFill/>
                    <a:ln w="9525">
                      <a:noFill/>
                      <a:headEnd/>
                      <a:tailEnd/>
                    </a:ln>
                  </pic:spPr>
                </pic:pic>
              </a:graphicData>
            </a:graphic>
          </wp:inline>
        </w:drawing>
      </w:r>
    </w:p>
    <w:bookmarkEnd w:id="49"/>
    <w:bookmarkEnd w:id="50"/>
    <w:bookmarkStart w:id="55" w:name="accesibility-to-modelling-tools"/>
    <w:p>
      <w:pPr>
        <w:pStyle w:val="Heading3"/>
      </w:pPr>
      <w:r>
        <w:t xml:space="preserve">2.3.5 Accesibility to Modelling Tools:</w:t>
      </w:r>
    </w:p>
    <w:p>
      <w:pPr>
        <w:pStyle w:val="FirstParagraph"/>
      </w:pPr>
      <w:r>
        <w:t xml:space="preserve">Simulation and modeling tools play a crucial role in understanding and optimizing biological processes, particularly in fields like systems biology, synthetic biology, and drug development. However, many of these advanced tools are often limited in accessibility and user-friendliness, which can restrict their widespread adoption and effective use in research and application.</w:t>
      </w:r>
    </w:p>
    <w:p>
      <w:pPr>
        <w:pStyle w:val="BodyText"/>
      </w:pPr>
      <w:r>
        <w:t xml:space="preserve">Many of the available tools require specialized knowledge of programming and mathematical modeling, creating a steep learning curve for researchers who may not have a strong computational background. This can discourage scientists from utilizing these tools, even when they could significantly enhance their research. Additionally, some tools may lack comprehensive documentation or user support, making it difficult for users to troubleshoot issues or fully leverage the tool’s capabilities.</w:t>
      </w:r>
    </w:p>
    <w:p>
      <w:pPr>
        <w:pStyle w:val="BodyText"/>
      </w:pPr>
      <w:r>
        <w:t xml:space="preserve">Even when large models are made accessible on platforms like Google Colab, such as ColabFold</w:t>
      </w:r>
      <w:r>
        <w:rPr>
          <w:vertAlign w:val="superscript"/>
        </w:rPr>
        <w:t xml:space="preserve">16</w:t>
      </w:r>
      <w:r>
        <w:t xml:space="preserve">, their functionality can be limited due to several factors. Firstly, computational resources on free or tiered cloud platforms may be restricted, leading to longer processing times or the inability to run particularly large or complex models that require significant computational power. This limitation can frustrate users who need to conduct extensive simulations or analyses. Additionally, Colab’s environment may not support all the necessary libraries or specific versions of software that users require for their models. While Colab offers a range of pre-installed packages, researchers may still encounter compatibility issues, requiring extra time to set up their environments properly. Furthermore, the reliance on internet connectivity can also pose challenges. Interruptions or slow connections can hinder users’ ability to run or save their work, potentially resulting in data loss or incomplete analyses. Having locally hosted databases and models downloaded allows for more accurate analysis and predictions</w:t>
      </w:r>
      <w:r>
        <w:rPr>
          <w:vertAlign w:val="superscript"/>
        </w:rPr>
        <w:t xml:space="preserve">17</w:t>
      </w:r>
      <w:r>
        <w:t xml:space="preserve">.</w:t>
      </w:r>
    </w:p>
    <w:p>
      <w:pPr>
        <w:pStyle w:val="BodyText"/>
      </w:pPr>
      <w:r>
        <w:t xml:space="preserve">To address these challenges, there is a growing need for more intuitive simulation and modeling tools that offer user-friendly interfaces and robust support for data integration. Enhancements such as visual modeling environments, drag-and-drop functionalities, and real-time feedback can make these tools more accessible to a broader audience. Furthermore, fostering collaborations between computational scientists and biologists can help ensure that the tools developed are tailored to the specific needs of the research community.</w:t>
      </w:r>
    </w:p>
    <w:bookmarkStart w:id="54" w:name="alphafoldrosettafold-ui"/>
    <w:p>
      <w:pPr>
        <w:pStyle w:val="Heading4"/>
      </w:pPr>
      <w:r>
        <w:t xml:space="preserve">2.3.5.1 AlphaFold/RosettaFold UI:</w:t>
      </w:r>
    </w:p>
    <w:p>
      <w:pPr>
        <w:pStyle w:val="FirstParagraph"/>
      </w:pPr>
      <w:r>
        <w:drawing>
          <wp:inline>
            <wp:extent cx="2428875" cy="2578893"/>
            <wp:effectExtent b="0" l="0" r="0" t="0"/>
            <wp:docPr descr="" title="" id="52" name="Picture"/>
            <a:graphic>
              <a:graphicData uri="http://schemas.openxmlformats.org/drawingml/2006/picture">
                <pic:pic>
                  <pic:nvPicPr>
                    <pic:cNvPr descr="chapters/images/AF_UI.png" id="53" name="Picture"/>
                    <pic:cNvPicPr>
                      <a:picLocks noChangeArrowheads="1" noChangeAspect="1"/>
                    </pic:cNvPicPr>
                  </pic:nvPicPr>
                  <pic:blipFill>
                    <a:blip r:embed="rId51"/>
                    <a:stretch>
                      <a:fillRect/>
                    </a:stretch>
                  </pic:blipFill>
                  <pic:spPr bwMode="auto">
                    <a:xfrm>
                      <a:off x="0" y="0"/>
                      <a:ext cx="2428875" cy="2578893"/>
                    </a:xfrm>
                    <a:prstGeom prst="rect">
                      <a:avLst/>
                    </a:prstGeom>
                    <a:noFill/>
                    <a:ln w="9525">
                      <a:noFill/>
                      <a:headEnd/>
                      <a:tailEnd/>
                    </a:ln>
                  </pic:spPr>
                </pic:pic>
              </a:graphicData>
            </a:graphic>
          </wp:inline>
        </w:drawing>
      </w:r>
    </w:p>
    <w:bookmarkEnd w:id="54"/>
    <w:bookmarkEnd w:id="55"/>
    <w:bookmarkStart w:id="60" w:name="visualization-tools"/>
    <w:p>
      <w:pPr>
        <w:pStyle w:val="Heading3"/>
      </w:pPr>
      <w:r>
        <w:t xml:space="preserve">2.3.6 Visualization Tools:</w:t>
      </w:r>
    </w:p>
    <w:p>
      <w:pPr>
        <w:pStyle w:val="FirstParagraph"/>
      </w:pPr>
      <w:r>
        <w:t xml:space="preserve">Biological data can be intricate and multidimensional, often involving large datasets from experiments such as genomics, proteomics, and metabolomics. Visualization tools help translate this data into graphical formats, making it easier for researchers to identify patterns, trends, and anomalies that might not be apparent in raw data</w:t>
      </w:r>
      <w:r>
        <w:rPr>
          <w:vertAlign w:val="superscript"/>
        </w:rPr>
        <w:t xml:space="preserve">18</w:t>
      </w:r>
      <w:r>
        <w:t xml:space="preserve">.</w:t>
      </w:r>
    </w:p>
    <w:p>
      <w:pPr>
        <w:pStyle w:val="BodyText"/>
      </w:pPr>
      <w:r>
        <w:t xml:space="preserve">These tools facilitate exploratory data analysis, allowing scientists to visualize relationships and interactions among biological variables. For instance, network diagrams can depict interactions between proteins, while heatmaps can show gene expression levels across different conditions, helping researchers draw meaningful conclusions and generate hypotheses[</w:t>
      </w:r>
      <w:r>
        <w:rPr>
          <w:vertAlign w:val="superscript"/>
        </w:rPr>
        <w:t xml:space="preserve">19</w:t>
      </w:r>
      <w:r>
        <w:t xml:space="preserve">]</w:t>
      </w:r>
      <w:r>
        <w:rPr>
          <w:vertAlign w:val="superscript"/>
        </w:rPr>
        <w:t xml:space="preserve">20</w:t>
      </w:r>
      <w:r>
        <w:rPr>
          <w:vertAlign w:val="superscript"/>
        </w:rPr>
        <w:t xml:space="preserve">21</w:t>
      </w:r>
      <w:r>
        <w:t xml:space="preserve">.</w:t>
      </w:r>
    </w:p>
    <w:p>
      <w:pPr>
        <w:pStyle w:val="BodyText"/>
      </w:pPr>
    </w:p>
    <w:bookmarkStart w:id="57" w:name="facs-visualization"/>
    <w:p>
      <w:pPr>
        <w:pStyle w:val="Heading4"/>
      </w:pPr>
      <w:r>
        <w:t xml:space="preserve">2.3.6.1 FACS Visualization:</w:t>
      </w:r>
    </w:p>
    <w:p>
      <w:pPr>
        <w:pStyle w:val="FirstParagraph"/>
      </w:pPr>
      <w:r>
        <w:t xml:space="preserve">Proprietary tools, such as FlowJo, FCS Express, and Kaluza, have emerged as the predominant solutions for flow cytometry analysis, and their widespread adoption can be attributed to several key factors. These tools provide a robust and intuitive user experience (UX), which enhances usability and facilitates efficient data interpretation. Additionally, they lower the barrier to entry for users, making the technology more accessible to individuals with varying levels of expertise</w:t>
      </w:r>
      <w:r>
        <w:rPr>
          <w:vertAlign w:val="superscript"/>
        </w:rPr>
        <w:t xml:space="preserve">22</w:t>
      </w:r>
      <w:r>
        <w:t xml:space="preserve">. Furthermore, the extensive documentation and support resources available for such tools enable users to navigate the complexities of flow cytometry with greater confidence and ease. Despite their advantages, proprietary tools for flow cytometry analysis have high licensing costs, learning curve for new users given the depth of features, and lag times with large datasets. Often, the resulting files aren’t standardized enough to enable robust integration with downstream applications like electronic lab notebooks.</w:t>
      </w:r>
    </w:p>
    <w:p>
      <w:pPr>
        <w:pStyle w:val="BodyText"/>
      </w:pPr>
      <w:r>
        <w:t xml:space="preserve">In this thesis, we utilize the open-sourced python library, FlowCal</w:t>
      </w:r>
      <w:r>
        <w:rPr>
          <w:vertAlign w:val="superscript"/>
        </w:rPr>
        <w:t xml:space="preserve">23</w:t>
      </w:r>
      <w:r>
        <w:t xml:space="preserve"> </w:t>
      </w:r>
      <w:r>
        <w:t xml:space="preserve">to extract the data from fcs files and can be used to make informed decisions on downstream processes.</w:t>
      </w:r>
    </w:p>
    <w:p>
      <w:pPr>
        <w:pStyle w:val="BodyText"/>
      </w:pPr>
      <w:r>
        <w:t xml:space="preserve">A simple user interface (UI) for the algorithm is available at</w:t>
      </w:r>
      <w:r>
        <w:t xml:space="preserve"> </w:t>
      </w:r>
      <w:hyperlink r:id="rId56">
        <w:r>
          <w:rPr>
            <w:rStyle w:val="Hyperlink"/>
          </w:rPr>
          <w:t xml:space="preserve">https://facsvisualization.streamlit.app/</w:t>
        </w:r>
      </w:hyperlink>
    </w:p>
    <w:bookmarkEnd w:id="57"/>
    <w:bookmarkStart w:id="59" w:name="mutant-variability-visualizer"/>
    <w:p>
      <w:pPr>
        <w:pStyle w:val="Heading4"/>
      </w:pPr>
      <w:r>
        <w:t xml:space="preserve">2.3.6.2 Mutant Variability Visualizer:</w:t>
      </w:r>
    </w:p>
    <w:p>
      <w:pPr>
        <w:pStyle w:val="FirstParagraph"/>
      </w:pPr>
      <w:r>
        <w:t xml:space="preserve">Directed evolution is a widely employed strategy for optimizing bio-parts, allowing researchers to enhance their functionality by exploring a diverse array of mutations within a given library. This thesis mainly focuses on analyzing long-read sequencing results derived from these mutant libraries, which provide comprehensive insights into the genetic variations present. By leveraging the advantages of long-read sequencing, the research can capture complex structural variations and facilitate the assembly of more complete sequences. Visualizing the variation within these libraries becomes crucial, as it allows for a more intuitive understanding of the data, making it easier to identify patterns and correlations between specific mutations and their resulting phenotypes. This visualization aids in pinpointing advantageous traits and helps guide subsequent rounds of evolution, ultimately driving the optimization process more efficiently.</w:t>
      </w:r>
    </w:p>
    <w:p>
      <w:pPr>
        <w:pStyle w:val="BodyText"/>
      </w:pPr>
      <w:r>
        <w:t xml:space="preserve">Here, the variance in WT sequenced reads are used as a threshold for the error rate in the mutant library.</w:t>
      </w:r>
    </w:p>
    <w:p>
      <w:pPr>
        <w:pStyle w:val="BodyText"/>
      </w:pPr>
      <w:r>
        <w:t xml:space="preserve">The variation</w:t>
      </w:r>
      <w:r>
        <w:t xml:space="preserve"> </w:t>
      </w:r>
      <m:oMath>
        <m:r>
          <m:t>v</m:t>
        </m:r>
      </m:oMath>
      <w:r>
        <w:t xml:space="preserve"> </w:t>
      </w:r>
      <w:r>
        <w:t xml:space="preserve">at a specific position</w:t>
      </w:r>
      <w:r>
        <w:t xml:space="preserve"> </w:t>
      </w:r>
      <m:oMath>
        <m:r>
          <m:t>i</m:t>
        </m:r>
      </m:oMath>
      <w:r>
        <w:t xml:space="preserve"> </w:t>
      </w:r>
      <w:r>
        <w:t xml:space="preserve">can be defined as:</w:t>
      </w:r>
    </w:p>
    <w:p>
      <w:pPr>
        <w:pStyle w:val="BodyText"/>
      </w:pPr>
      <w:r>
        <w:t xml:space="preserve">$$ v_i = {\sum n_i' \over n_i} * 100 $$</w:t>
      </w:r>
    </w:p>
    <w:p>
      <w:pPr>
        <w:pStyle w:val="FirstParagraph"/>
      </w:pPr>
      <w:r>
        <w:t xml:space="preserve">where</w:t>
      </w:r>
      <w:r>
        <w:t xml:space="preserve"> </w:t>
      </w:r>
      <m:oMath>
        <m:sSub>
          <m:e>
            <m:r>
              <m:t>n</m:t>
            </m:r>
          </m:e>
          <m:sub>
            <m:r>
              <m:t>i</m:t>
            </m:r>
          </m:sub>
        </m:sSub>
        <m:r>
          <m:rPr>
            <m:sty m:val="p"/>
          </m:rPr>
          <m:t>′</m:t>
        </m:r>
      </m:oMath>
      <w:r>
        <w:t xml:space="preserve"> </w:t>
      </w:r>
      <w:r>
        <w:t xml:space="preserve">are the occurrences of all nucleotides excluding WT and</w:t>
      </w:r>
      <w:r>
        <w:t xml:space="preserve"> </w:t>
      </w:r>
      <m:oMath>
        <m:sSub>
          <m:e>
            <m:r>
              <m:t>n</m:t>
            </m:r>
          </m:e>
          <m:sub>
            <m:r>
              <m:t>i</m:t>
            </m:r>
          </m:sub>
        </m:sSub>
      </m:oMath>
      <w:r>
        <w:t xml:space="preserve"> </w:t>
      </w:r>
      <w:r>
        <w:t xml:space="preserve">are the occurrences of the WT nucleotides at position</w:t>
      </w:r>
      <w:r>
        <w:t xml:space="preserve"> </w:t>
      </w:r>
      <m:oMath>
        <m:r>
          <m:t>i</m:t>
        </m:r>
      </m:oMath>
      <w:r>
        <w:t xml:space="preserve"> </w:t>
      </w:r>
      <w:r>
        <w:t xml:space="preserve">in a sequence run of a single population.</w:t>
      </w:r>
    </w:p>
    <w:p>
      <w:pPr>
        <w:pStyle w:val="BodyText"/>
      </w:pPr>
      <w:r>
        <w:t xml:space="preserve">We define the variation of the</w:t>
      </w:r>
      <w:r>
        <w:t xml:space="preserve"> </w:t>
      </w:r>
      <m:oMath>
        <m:r>
          <m:t>i</m:t>
        </m:r>
      </m:oMath>
      <w:r>
        <w:t xml:space="preserve">th nucleotide in the mutant library as:</w:t>
      </w:r>
    </w:p>
    <w:p>
      <w:pPr>
        <w:pStyle w:val="BodyText"/>
      </w:pPr>
      <w:r>
        <w:t xml:space="preserve">$$ V_i = ({\sum ml_i' \over ml_i} * 100 ) - ({\sum wt_i' \over wt_i} * 100 ) $$</w:t>
      </w:r>
    </w:p>
    <w:p>
      <w:pPr>
        <w:pStyle w:val="FirstParagraph"/>
      </w:pPr>
      <w:r>
        <w:t xml:space="preserve">where</w:t>
      </w:r>
      <w:r>
        <w:t xml:space="preserve"> </w:t>
      </w:r>
      <m:oMath>
        <m:r>
          <m:t>m</m:t>
        </m:r>
        <m:r>
          <m:t>l</m:t>
        </m:r>
      </m:oMath>
      <w:r>
        <w:t xml:space="preserve"> </w:t>
      </w:r>
      <w:r>
        <w:t xml:space="preserve">refers to the mutant library sequenced samples and</w:t>
      </w:r>
      <w:r>
        <w:t xml:space="preserve"> </w:t>
      </w:r>
      <m:oMath>
        <m:r>
          <m:t>w</m:t>
        </m:r>
        <m:r>
          <m:t>t</m:t>
        </m:r>
      </m:oMath>
      <w:r>
        <w:t xml:space="preserve"> </w:t>
      </w:r>
      <w:r>
        <w:t xml:space="preserve">refers to the the WT sequenced samples.</w:t>
      </w:r>
    </w:p>
    <w:p>
      <w:pPr>
        <w:pStyle w:val="BodyText"/>
      </w:pPr>
      <w:r>
        <w:t xml:space="preserve">A simple user interface (UI) for the algorithm is available at</w:t>
      </w:r>
      <w:r>
        <w:t xml:space="preserve"> </w:t>
      </w:r>
      <w:hyperlink r:id="rId58">
        <w:r>
          <w:rPr>
            <w:rStyle w:val="Hyperlink"/>
          </w:rPr>
          <w:t xml:space="preserve">https://libraryanalysis.streamlit.app/</w:t>
        </w:r>
      </w:hyperlink>
    </w:p>
    <w:bookmarkEnd w:id="59"/>
    <w:bookmarkEnd w:id="60"/>
    <w:bookmarkStart w:id="62" w:name="tools-for-data-storage-and-sharing"/>
    <w:p>
      <w:pPr>
        <w:pStyle w:val="Heading3"/>
      </w:pPr>
      <w:r>
        <w:t xml:space="preserve">2.3.7 Tools for Data Storage and Sharing:</w:t>
      </w:r>
    </w:p>
    <w:bookmarkStart w:id="61" w:name="server-management"/>
    <w:p>
      <w:pPr>
        <w:pStyle w:val="Heading4"/>
      </w:pPr>
      <w:r>
        <w:t xml:space="preserve">2.3.7.1 Server Management:</w:t>
      </w:r>
    </w:p>
    <w:bookmarkEnd w:id="61"/>
    <w:bookmarkEnd w:id="62"/>
    <w:bookmarkEnd w:id="63"/>
    <w:bookmarkStart w:id="64" w:name="conclusion"/>
    <w:p>
      <w:pPr>
        <w:pStyle w:val="Heading2"/>
      </w:pPr>
      <w:r>
        <w:t xml:space="preserve">2.4 Conclusion</w:t>
      </w:r>
    </w:p>
    <w:p>
      <w:pPr>
        <w:pStyle w:val="FirstParagraph"/>
      </w:pPr>
      <w:r>
        <w:t xml:space="preserve">Here, we demonstrate the robustness of rapidly-prototyping software to handle, analyze, and standardize workflows in a biofoundry. Although UI for the tools were developed, we encourage researchers utilizing automation to adopt a</w:t>
      </w:r>
      <w:r>
        <w:t xml:space="preserve"> </w:t>
      </w:r>
      <w:r>
        <w:t xml:space="preserve">“</w:t>
      </w:r>
      <w:r>
        <w:t xml:space="preserve">think like a programmer</w:t>
      </w:r>
      <w:r>
        <w:t xml:space="preserve">”</w:t>
      </w:r>
      <w:r>
        <w:t xml:space="preserve"> </w:t>
      </w:r>
      <w:r>
        <w:t xml:space="preserve">mindset to provide maximum flexibility in applications, ease of integrating modules and debugging issues that may arise.</w:t>
      </w:r>
    </w:p>
    <w:bookmarkEnd w:id="64"/>
    <w:bookmarkStart w:id="65" w:name="methods"/>
    <w:p>
      <w:pPr>
        <w:pStyle w:val="Heading2"/>
      </w:pPr>
      <w:r>
        <w:t xml:space="preserve">2.5 Methods</w:t>
      </w:r>
    </w:p>
    <w:p>
      <w:pPr>
        <w:pStyle w:val="FirstParagraph"/>
      </w:pPr>
      <w:r>
        <w:t xml:space="preserve">All applications were developed on Python version 3.11.0. and all public applications were made on Streamlit version 1.39.0. The AlphaFold2 user interface was developed using ShinyR.</w:t>
      </w:r>
    </w:p>
    <w:bookmarkEnd w:id="65"/>
    <w:bookmarkEnd w:id="66"/>
    <w:bookmarkStart w:id="111" w:name="X9915f20385590b9d5624bb4c129488d2f6f236c"/>
    <w:p>
      <w:pPr>
        <w:pStyle w:val="Heading1"/>
      </w:pPr>
      <w:r>
        <w:t xml:space="preserve">3. Data Collection for AI-based Protein Engineering using Biosensors</w:t>
      </w:r>
    </w:p>
    <w:bookmarkStart w:id="67" w:name="introduction-2"/>
    <w:p>
      <w:pPr>
        <w:pStyle w:val="Heading2"/>
      </w:pPr>
      <w:r>
        <w:t xml:space="preserve">3.1 Introduction</w:t>
      </w:r>
    </w:p>
    <w:p>
      <w:pPr>
        <w:pStyle w:val="FirstParagraph"/>
      </w:pPr>
      <w:r>
        <w:t xml:space="preserve">Protein engineering involves the continuous collection and analysis of phenotypic and genotypic data to identify advantageous protein variants. Current methods involve either a bottom-up data-driven approach of rational protein design or a top-down high-throughput screening approach of directed evolution to obtain and enhance a specific protein’s activity. Rational engineering requires a comprehensive understanding of the protein’s structural data, mechanism, and ligand interactions, which is often non-transferable to other types of proteins. Directed evolution, on the other hand, focuses on identifying improved candidates through a phenotype-specific selection pressure on a mutant library. This method can be rapidly applied to a wide variety of proteins without necessitating an in-depth understanding of protein mechanisms. However, to obtain large datasets, it is vital to have a method that can both phenotype and genotype variants in a high-throughput manner.</w:t>
      </w:r>
    </w:p>
    <w:p>
      <w:pPr>
        <w:pStyle w:val="BodyText"/>
      </w:pPr>
      <w:r>
        <w:t xml:space="preserve">The advent of Artificial Intelligence (AI) in the exploration of protein landscapes has greatly accelerated identifying and generating new and advantageous variants. Despite the ingenious development of general deep learning (DL) models, a major gap in applying AI for protein engineering is the lack of large labeled, and structured datasets specific to a protein and its activity</w:t>
      </w:r>
      <w:r>
        <w:rPr>
          <w:vertAlign w:val="superscript"/>
        </w:rPr>
        <w:t xml:space="preserve">24</w:t>
      </w:r>
      <w:r>
        <w:t xml:space="preserve">. Obtaining such datasets depends upon experimental methods that often take too long to amass large amounts of reliable data, resulting in a compromise on quality or quantity</w:t>
      </w:r>
      <w:r>
        <w:rPr>
          <w:vertAlign w:val="superscript"/>
        </w:rPr>
        <w:t xml:space="preserve">25</w:t>
      </w:r>
      <w:r>
        <w:t xml:space="preserve">. Without simultaneously accelerating the collection of data, the use of AI for protein engineering may be stuck in a local minimum, constrained by unexplored areas in the protein landscape</w:t>
      </w:r>
      <w:r>
        <w:rPr>
          <w:vertAlign w:val="superscript"/>
        </w:rPr>
        <w:t xml:space="preserve">26</w:t>
      </w:r>
      <w:r>
        <w:t xml:space="preserve">.</w:t>
      </w:r>
    </w:p>
    <w:p>
      <w:pPr>
        <w:pStyle w:val="BodyText"/>
      </w:pPr>
      <w:r>
        <w:t xml:space="preserve">Here, we detail a method to generate large labeled datasets for high-throughput AI-assisted protein engineering (HiAPE). Biosensors and long-read sequencing are the foundational technology for data collection. Automated equipment including liquid handlers may be used to accelerate and scale up wet-lab experiments. Any intermediary software applications are rapidly prototyped using Python and Bash in a containerized Ubuntu environment using Docker and hosted on Streamlit.</w:t>
      </w:r>
    </w:p>
    <w:p>
      <w:pPr>
        <w:pStyle w:val="BodyText"/>
      </w:pPr>
      <w:r>
        <w:t xml:space="preserve">Genetically encoded biosensors can detect internal stimuli into proportional detectable signal</w:t>
      </w:r>
      <w:r>
        <w:rPr>
          <w:vertAlign w:val="superscript"/>
        </w:rPr>
        <w:t xml:space="preserve">27</w:t>
      </w:r>
      <w:r>
        <w:t xml:space="preserve">,</w:t>
      </w:r>
      <w:r>
        <w:rPr>
          <w:vertAlign w:val="superscript"/>
        </w:rPr>
        <w:t xml:space="preserve">28</w:t>
      </w:r>
      <w:r>
        <w:t xml:space="preserve">. Numerous strategies involving biosensors and a fluorescence reporter have maximized the use of high-throughput techniques such as fluorescence-activated cell sorting (FACS) to screen through active and inactive variants of proteins easily</w:t>
      </w:r>
      <w:r>
        <w:rPr>
          <w:vertAlign w:val="superscript"/>
        </w:rPr>
        <w:t xml:space="preserve">29</w:t>
      </w:r>
      <w:r>
        <w:t xml:space="preserve">,</w:t>
      </w:r>
      <w:r>
        <w:rPr>
          <w:vertAlign w:val="superscript"/>
        </w:rPr>
        <w:t xml:space="preserve">30</w:t>
      </w:r>
      <w:r>
        <w:t xml:space="preserve">,</w:t>
      </w:r>
      <w:r>
        <w:rPr>
          <w:vertAlign w:val="superscript"/>
        </w:rPr>
        <w:t xml:space="preserve">31</w:t>
      </w:r>
      <w:r>
        <w:t xml:space="preserve">,</w:t>
      </w:r>
      <w:r>
        <w:rPr>
          <w:vertAlign w:val="superscript"/>
        </w:rPr>
        <w:t xml:space="preserve">32</w:t>
      </w:r>
      <w:r>
        <w:t xml:space="preserve">. Unlike conventional protein engineering, mutants resulting in a loss of function are regarded of equal importance as advantageous variants in HiAPE and are used for further analysis. The resulting populations constitute a robust dataset with two labels of low and high activity respectively, which can be subsequently sequenced. From an AI perspective, it is important to have both</w:t>
      </w:r>
      <w:r>
        <w:t xml:space="preserve"> </w:t>
      </w:r>
      <w:r>
        <w:t xml:space="preserve">“</w:t>
      </w:r>
      <w:r>
        <w:t xml:space="preserve">positive</w:t>
      </w:r>
      <w:r>
        <w:t xml:space="preserve">”</w:t>
      </w:r>
      <w:r>
        <w:t xml:space="preserve"> </w:t>
      </w:r>
      <w:r>
        <w:t xml:space="preserve">and</w:t>
      </w:r>
      <w:r>
        <w:t xml:space="preserve"> </w:t>
      </w:r>
      <w:r>
        <w:t xml:space="preserve">“</w:t>
      </w:r>
      <w:r>
        <w:t xml:space="preserve">negative</w:t>
      </w:r>
      <w:r>
        <w:t xml:space="preserve">”</w:t>
      </w:r>
      <w:r>
        <w:t xml:space="preserve"> </w:t>
      </w:r>
      <w:r>
        <w:t xml:space="preserve">data</w:t>
      </w:r>
      <w:r>
        <w:rPr>
          <w:vertAlign w:val="superscript"/>
        </w:rPr>
        <w:t xml:space="preserve">33</w:t>
      </w:r>
      <w:r>
        <w:t xml:space="preserve">,</w:t>
      </w:r>
      <w:r>
        <w:rPr>
          <w:vertAlign w:val="superscript"/>
        </w:rPr>
        <w:t xml:space="preserve">34</w:t>
      </w:r>
      <w:r>
        <w:t xml:space="preserve"> </w:t>
      </w:r>
      <w:r>
        <w:t xml:space="preserve">or data from multiple classes to develop a successful model that is adequately discriminatory. The biological interpretation of using both low and high-activity data helps pinpoint residues and inter-residue cooperativity that are directly responsible for the protein’s function.</w:t>
      </w:r>
    </w:p>
    <w:p>
      <w:pPr>
        <w:pStyle w:val="BodyText"/>
      </w:pPr>
      <w:r>
        <w:t xml:space="preserve">To overcome the labor-intensive, expensive, and low-throughput of sequencing individual colonies using short-read NGS techniques, such as Sanger or Illumina sequencing, we propose using long-read sequencing of all samples simultaneously. More importantly, by employing long-read sequencing, the full length of the protein and genetic circuit sequences are obtained through which the effects of concurrent mutations can be inferred. Whole populations are mini-prepped, producing a DNA pool of variants that equate to the established phenotype, following which are sequenced using Nanopore. Here, the assumption is that each full read corresponds to a single cell that was sorted, and duplicates arising from multiple plasmids of the same variant can be eliminated computationally. The resulting reads are mapped to the target sequence and filtered based on quality and length using a custom pipeline (Methods: Sequence Data processing). The final dataset ends up being of an order of 10</w:t>
      </w:r>
      <w:r>
        <w:rPr>
          <w:vertAlign w:val="superscript"/>
        </w:rPr>
        <w:t xml:space="preserve">4</w:t>
      </w:r>
      <w:r>
        <w:t xml:space="preserve">-10</w:t>
      </w:r>
      <w:r>
        <w:rPr>
          <w:vertAlign w:val="superscript"/>
        </w:rPr>
        <w:t xml:space="preserve">5</w:t>
      </w:r>
      <w:r>
        <w:t xml:space="preserve"> labeled reads that can now be used to train an AI model.</w:t>
      </w:r>
    </w:p>
    <w:p>
      <w:pPr>
        <w:pStyle w:val="BodyText"/>
      </w:pPr>
      <w:r>
        <w:t xml:space="preserve">The trained AI models narrow the search space by predicting the phenotypes of mutants in an</w:t>
      </w:r>
      <w:r>
        <w:t xml:space="preserve"> </w:t>
      </w:r>
      <w:r>
        <w:rPr>
          <w:iCs/>
          <w:i/>
        </w:rPr>
        <w:t xml:space="preserve">in-silico</w:t>
      </w:r>
      <w:r>
        <w:t xml:space="preserve"> </w:t>
      </w:r>
      <w:r>
        <w:t xml:space="preserve">library. After obtaining a candidate list, liquid handlers can be used to construct the appropriate mutants in parallel and at a large scale. Barcoded-PCR combined with long-read sequencing (Methods) allows to screen through multiple colonies to identify the correctly mutated colonies with a single sequencing run. Lastly, once the candidates are constructed, their activity can be easily evaluated using plate readers based on the genetic circuit fluorescence.</w:t>
      </w:r>
    </w:p>
    <w:p>
      <w:pPr>
        <w:pStyle w:val="BodyText"/>
      </w:pPr>
      <w:r>
        <w:t xml:space="preserve">As a proof of concept, we employed this method to engineer a transcription factor (TF), DmpR, and an enzyme, methyl parathion hydrolase (MPH). Currently, there is limited understanding of the mechanism of both protein functionalities, and each type of protein requires additional considerations that are detailed ahead.</w:t>
      </w:r>
    </w:p>
    <w:bookmarkEnd w:id="67"/>
    <w:bookmarkStart w:id="97" w:name="results"/>
    <w:p>
      <w:pPr>
        <w:pStyle w:val="Heading2"/>
      </w:pPr>
      <w:r>
        <w:t xml:space="preserve">3.2 Results</w:t>
      </w:r>
    </w:p>
    <w:bookmarkStart w:id="73" w:name="engineering-dmpr-for-improved-signal"/>
    <w:p>
      <w:pPr>
        <w:pStyle w:val="Heading3"/>
      </w:pPr>
      <w:r>
        <w:t xml:space="preserve">3.2.1 Engineering DmpR for Improved Signal</w:t>
      </w:r>
    </w:p>
    <w:p>
      <w:pPr>
        <w:pStyle w:val="FirstParagraph"/>
      </w:pPr>
      <w:r>
        <w:t xml:space="preserve">DmpR is an NtrC-like regulatory protein that is activated in the presence of phenol</w:t>
      </w:r>
      <w:r>
        <w:rPr>
          <w:vertAlign w:val="superscript"/>
        </w:rPr>
        <w:t xml:space="preserve">35</w:t>
      </w:r>
      <w:r>
        <w:t xml:space="preserve">. A biosensor constructed using DmpR has been shown to detect phenol and various phenolic compounds</w:t>
      </w:r>
      <w:r>
        <w:rPr>
          <w:vertAlign w:val="superscript"/>
        </w:rPr>
        <w:t xml:space="preserve">36</w:t>
      </w:r>
      <w:r>
        <w:t xml:space="preserve">,</w:t>
      </w:r>
      <w:r>
        <w:t xml:space="preserve"> </w:t>
      </w:r>
      <w:hyperlink r:id="rId68">
        <w:r>
          <w:rPr>
            <w:rStyle w:val="Hyperlink"/>
          </w:rPr>
          <w:t xml:space="preserve">@kim2020machine</w:t>
        </w:r>
      </w:hyperlink>
      <w:r>
        <w:t xml:space="preserve">. Here, we engineer DmpR to have higher activity in 10μM phenol. The diverse DmpR mutant library is sorted into two populations, low and high, depending upon their fluorescence in the presence of phenol. These populations undergo two rounds of sorting till the resulting populations diverge without much overlap in their fluorescent response to phenol (</w:t>
      </w:r>
      <w:r>
        <w:t xml:space="preserve"> </w:t>
      </w:r>
      <w:hyperlink w:anchor="fig-dmpr_signal">
        <w:r>
          <w:rPr>
            <w:rStyle w:val="Hyperlink"/>
          </w:rPr>
          <w:t xml:space="preserve">Figure 3.1</w:t>
        </w:r>
      </w:hyperlink>
      <w:r>
        <w:t xml:space="preserve"> </w:t>
      </w:r>
      <w:r>
        <w:t xml:space="preserve">B). The resulting populations are sequenced and processed to compose a labelled dataset of advantageous and disadvantageous mutants of DmpR. The high and low signal populations show variation across different DmpR amino acids (</w:t>
      </w:r>
      <w:hyperlink w:anchor="fig-dmpr_signal">
        <w:r>
          <w:rPr>
            <w:rStyle w:val="Hyperlink"/>
          </w:rPr>
          <w:t xml:space="preserve">Figure 3.1</w:t>
        </w:r>
      </w:hyperlink>
      <w:r>
        <w:t xml:space="preserve"> </w:t>
      </w:r>
      <w:r>
        <w:t xml:space="preserve">C). A simple binary classification convolutional neural networks (CNN) model is trained and optimized on the dataset to have a final accuracy of 89% (</w:t>
      </w:r>
      <w:hyperlink w:anchor="fig-dmpr_signal">
        <w:r>
          <w:rPr>
            <w:rStyle w:val="Hyperlink"/>
          </w:rPr>
          <w:t xml:space="preserve">Figure 3.1</w:t>
        </w:r>
      </w:hyperlink>
      <w:r>
        <w:t xml:space="preserve"> </w:t>
      </w:r>
      <w:r>
        <w:t xml:space="preserve">D). The model was then used to predict the likelihood of a mutant from a single mutation</w:t>
      </w:r>
      <w:r>
        <w:t xml:space="preserve"> </w:t>
      </w:r>
      <w:r>
        <w:rPr>
          <w:iCs/>
          <w:i/>
        </w:rPr>
        <w:t xml:space="preserve">in-silico</w:t>
      </w:r>
      <w:r>
        <w:t xml:space="preserve"> </w:t>
      </w:r>
      <w:r>
        <w:t xml:space="preserve">mutant library (n = 60,000) of DmpR to be of low or high activity. Top 10 candidates predicted to have low and high activity were experimentally evaluated and found to have an accuracy of 70%. These 20 samples were used as a validation dataset to improve the model to give a final accuracy of 80% (</w:t>
      </w:r>
      <w:hyperlink w:anchor="fig-dmpr_signal">
        <w:r>
          <w:rPr>
            <w:rStyle w:val="Hyperlink"/>
          </w:rPr>
          <w:t xml:space="preserve">Figure 3.1</w:t>
        </w:r>
      </w:hyperlink>
      <w:r>
        <w:t xml:space="preserve"> </w:t>
      </w:r>
      <w:r>
        <w:t xml:space="preserve">E). Previously reported variants of DmpR, such as E135K</w:t>
      </w:r>
      <w:r>
        <w:rPr>
          <w:vertAlign w:val="superscript"/>
        </w:rPr>
        <w:t xml:space="preserve">37</w:t>
      </w:r>
      <w:r>
        <w:t xml:space="preserve"> were also predicted to have the correct phenotype.</w:t>
      </w:r>
    </w:p>
    <w:p>
      <w:pPr>
        <w:pStyle w:val="BodyText"/>
      </w:pPr>
      <w:r>
        <w:t xml:space="preserve">Contrarily, it was observed that high-fluorescence sorted populations with phenol (Signal) also had high fluorescence without it (Background). Additionally, the original high-activity population exhibited similarly high background (</w:t>
      </w:r>
      <w:hyperlink w:anchor="fig-dmpr_signal">
        <w:r>
          <w:rPr>
            <w:rStyle w:val="Hyperlink"/>
          </w:rPr>
          <w:t xml:space="preserve">Figure 3.1</w:t>
        </w:r>
      </w:hyperlink>
      <w:r>
        <w:t xml:space="preserve"> </w:t>
      </w:r>
      <w:r>
        <w:t xml:space="preserve">F), suggesting that that the majority of</w:t>
      </w:r>
      <w:r>
        <w:t xml:space="preserve"> </w:t>
      </w:r>
      <w:r>
        <w:t xml:space="preserve">“</w:t>
      </w:r>
      <w:r>
        <w:t xml:space="preserve">high</w:t>
      </w:r>
      <w:r>
        <w:t xml:space="preserve">”</w:t>
      </w:r>
      <w:r>
        <w:t xml:space="preserve"> </w:t>
      </w:r>
      <w:r>
        <w:t xml:space="preserve">variants are always in an active state, binding to sfGFP’s promoter regardless if the substrate binds to the protein or not characterizing it as dysfunctional and non-specific transcriptional activity. Inducible transcription factors, like DmpR are expected to have high signal while maintaining low background, exhibiting high sensitivity and selectivity. These properties are considered independent of each other due to experimental limitations of testing them simultaneously, making it a multi-objective</w:t>
      </w:r>
      <w:r>
        <w:rPr>
          <w:vertAlign w:val="superscript"/>
        </w:rPr>
        <w:t xml:space="preserve">24</w:t>
      </w:r>
      <w:r>
        <w:t xml:space="preserve"> </w:t>
      </w:r>
      <w:r>
        <w:t xml:space="preserve">engineering problem. This is challenging when datasets come from multiple sources which can introduce numerous inconsistencies due to varying biases of different experimental methods.</w:t>
      </w:r>
    </w:p>
    <w:tbl>
      <w:tblPr>
        <w:tblStyle w:val="Table"/>
        <w:tblW w:type="pct" w:w="5000"/>
        <w:tblLook w:firstRow="0" w:lastRow="0" w:firstColumn="0" w:lastColumn="0" w:noHBand="0" w:noVBand="0" w:val="0000"/>
        <w:jc w:val="start"/>
        <w:tblLayout w:type="fixed"/>
      </w:tblPr>
      <w:tblGrid>
        <w:gridCol w:w="7920"/>
      </w:tblGrid>
      <w:tr>
        <w:tc>
          <w:tcPr/>
          <w:bookmarkStart w:id="72" w:name="fig-dmpr_signal"/>
          <w:p>
            <w:pPr>
              <w:pStyle w:val="Compact"/>
              <w:jc w:val="center"/>
            </w:pPr>
            <w:r>
              <w:drawing>
                <wp:inline>
                  <wp:extent cx="5334000" cy="5859162"/>
                  <wp:effectExtent b="0" l="0" r="0" t="0"/>
                  <wp:docPr descr="" title="" id="70" name="Picture"/>
                  <a:graphic>
                    <a:graphicData uri="http://schemas.openxmlformats.org/drawingml/2006/picture">
                      <pic:pic>
                        <pic:nvPicPr>
                          <pic:cNvPr descr="chapters/images/dmpr_signal.png" id="71" name="Picture"/>
                          <pic:cNvPicPr>
                            <a:picLocks noChangeArrowheads="1" noChangeAspect="1"/>
                          </pic:cNvPicPr>
                        </pic:nvPicPr>
                        <pic:blipFill>
                          <a:blip r:embed="rId69"/>
                          <a:stretch>
                            <a:fillRect/>
                          </a:stretch>
                        </pic:blipFill>
                        <pic:spPr bwMode="auto">
                          <a:xfrm>
                            <a:off x="0" y="0"/>
                            <a:ext cx="5334000" cy="58591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3.1: Engineering DmpR for improved response to Phenol.</w:t>
            </w:r>
            <w:r>
              <w:t xml:space="preserve"> </w:t>
            </w:r>
            <w:r>
              <w:rPr>
                <w:bCs/>
                <w:b/>
              </w:rPr>
              <w:t xml:space="preserve">A</w:t>
            </w:r>
            <w:r>
              <w:t xml:space="preserve"> </w:t>
            </w:r>
            <w:r>
              <w:t xml:space="preserve">Genetic circuit for DmpR biosensor. The relative fluorescence expression (Y-axis) graph of multiple concentrations of phenol over time (X-axis).</w:t>
            </w:r>
            <w:r>
              <w:t xml:space="preserve"> </w:t>
            </w:r>
            <w:r>
              <w:rPr>
                <w:bCs/>
                <w:b/>
              </w:rPr>
              <w:t xml:space="preserve">B</w:t>
            </w:r>
            <w:r>
              <w:t xml:space="preserve"> </w:t>
            </w:r>
            <w:r>
              <w:t xml:space="preserve">FACS sorting of mutant library into low and high populations over after two rounds.</w:t>
            </w:r>
            <w:r>
              <w:t xml:space="preserve"> </w:t>
            </w:r>
            <w:r>
              <w:rPr>
                <w:bCs/>
                <w:b/>
              </w:rPr>
              <w:t xml:space="preserve">C</w:t>
            </w:r>
            <w:r>
              <w:t xml:space="preserve"> </w:t>
            </w:r>
            <w:r>
              <w:t xml:space="preserve">Nanopore long-read sequencing and mutant variation of high signal (HS) and low signal (LS) populations across DmpR protein sequence. DmpR domains are described in Park, KH. Et al. 2020. Lighter colours have higher variation.</w:t>
            </w:r>
            <w:r>
              <w:t xml:space="preserve"> </w:t>
            </w:r>
            <w:r>
              <w:rPr>
                <w:bCs/>
                <w:b/>
              </w:rPr>
              <w:t xml:space="preserve">D</w:t>
            </w:r>
            <w:r>
              <w:t xml:space="preserve"> </w:t>
            </w:r>
            <w:r>
              <w:t xml:space="preserve">Confusion matrix of predictions of validation set by trained signal model.</w:t>
            </w:r>
            <w:r>
              <w:t xml:space="preserve"> </w:t>
            </w:r>
            <w:r>
              <w:rPr>
                <w:bCs/>
                <w:b/>
              </w:rPr>
              <w:t xml:space="preserve">E</w:t>
            </w:r>
            <w:r>
              <w:t xml:space="preserve"> </w:t>
            </w:r>
            <w:r>
              <w:t xml:space="preserve">FACS analysis of predicted mutants. Light green sample is WT, yellow samples are predicted to have low signal, dark green samples are predicted to have high signal. Samples marked with red are incorrectly predicted samples.</w:t>
            </w:r>
            <w:r>
              <w:t xml:space="preserve"> </w:t>
            </w:r>
            <w:r>
              <w:rPr>
                <w:bCs/>
                <w:b/>
              </w:rPr>
              <w:t xml:space="preserve">F</w:t>
            </w:r>
            <w:r>
              <w:t xml:space="preserve"> </w:t>
            </w:r>
            <w:r>
              <w:t xml:space="preserve">FACS analysis of mutant library and sorted populations with and without (grey) phenol.</w:t>
            </w:r>
          </w:p>
          <w:bookmarkEnd w:id="72"/>
        </w:tc>
      </w:tr>
    </w:tbl>
    <w:bookmarkEnd w:id="73"/>
    <w:bookmarkStart w:id="78" w:name="engineering-dmpr-for-reduced-background"/>
    <w:p>
      <w:pPr>
        <w:pStyle w:val="Heading3"/>
      </w:pPr>
      <w:r>
        <w:t xml:space="preserve">3.2.2 Engineering DmpR for reduced Background</w:t>
      </w:r>
    </w:p>
    <w:p>
      <w:pPr>
        <w:pStyle w:val="FirstParagraph"/>
      </w:pPr>
      <w:r>
        <w:t xml:space="preserve">To overcome this challenge, we employed HiAPE with the same mutant library in the absence of phenol, considering background as a second phenotype (</w:t>
      </w:r>
      <w:hyperlink w:anchor="fig-dmpr_bkg">
        <w:r>
          <w:rPr>
            <w:rStyle w:val="Hyperlink"/>
          </w:rPr>
          <w:t xml:space="preserve">Figure 3.2</w:t>
        </w:r>
      </w:hyperlink>
      <w:r>
        <w:t xml:space="preserve">). This resulted in a separate model that could predict the background of a given DmpR mutated sequence The final two populations used are not entirely distinct and exhibit considerable overlap in activity, which permits the potential for mutants existing in both populations and lack of significant variability in the populations (</w:t>
      </w:r>
      <w:hyperlink w:anchor="fig-dmpr_bkg">
        <w:r>
          <w:rPr>
            <w:rStyle w:val="Hyperlink"/>
          </w:rPr>
          <w:t xml:space="preserve">Figure 3.2</w:t>
        </w:r>
      </w:hyperlink>
      <w:r>
        <w:t xml:space="preserve"> </w:t>
      </w:r>
      <w:r>
        <w:t xml:space="preserve">B). Nonetheless, it is expected that sustained sorting will significantly reduce mutant diversity, thereby compromising the overall quality of the dataset. The final optimized trained CNN model of background had an accuracy of 80% (</w:t>
      </w:r>
      <w:hyperlink w:anchor="fig-dmpr_bkg">
        <w:r>
          <w:rPr>
            <w:rStyle w:val="Hyperlink"/>
          </w:rPr>
          <w:t xml:space="preserve">Figure 3.2</w:t>
        </w:r>
      </w:hyperlink>
      <w:r>
        <w:t xml:space="preserve"> </w:t>
      </w:r>
      <w:r>
        <w:t xml:space="preserve">C).</w:t>
      </w:r>
    </w:p>
    <w:tbl>
      <w:tblPr>
        <w:tblStyle w:val="Table"/>
        <w:tblW w:type="pct" w:w="5000"/>
        <w:tblLook w:firstRow="0" w:lastRow="0" w:firstColumn="0" w:lastColumn="0" w:noHBand="0" w:noVBand="0" w:val="0000"/>
        <w:jc w:val="start"/>
        <w:tblLayout w:type="fixed"/>
      </w:tblPr>
      <w:tblGrid>
        <w:gridCol w:w="7920"/>
      </w:tblGrid>
      <w:tr>
        <w:tc>
          <w:tcPr/>
          <w:bookmarkStart w:id="77" w:name="fig-dmpr_bkg"/>
          <w:p>
            <w:pPr>
              <w:pStyle w:val="Compact"/>
              <w:jc w:val="center"/>
            </w:pPr>
            <w:r>
              <w:drawing>
                <wp:inline>
                  <wp:extent cx="5334000" cy="4832512"/>
                  <wp:effectExtent b="0" l="0" r="0" t="0"/>
                  <wp:docPr descr="" title="" id="75" name="Picture"/>
                  <a:graphic>
                    <a:graphicData uri="http://schemas.openxmlformats.org/drawingml/2006/picture">
                      <pic:pic>
                        <pic:nvPicPr>
                          <pic:cNvPr descr="chapters/images/dmpr_bkg.png" id="76" name="Picture"/>
                          <pic:cNvPicPr>
                            <a:picLocks noChangeArrowheads="1" noChangeAspect="1"/>
                          </pic:cNvPicPr>
                        </pic:nvPicPr>
                        <pic:blipFill>
                          <a:blip r:embed="rId74"/>
                          <a:stretch>
                            <a:fillRect/>
                          </a:stretch>
                        </pic:blipFill>
                        <pic:spPr bwMode="auto">
                          <a:xfrm>
                            <a:off x="0" y="0"/>
                            <a:ext cx="5334000" cy="48325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3.2: Engineering DmpR for low response in the absence of Phenol.</w:t>
            </w:r>
            <w:r>
              <w:t xml:space="preserve"> </w:t>
            </w:r>
            <w:r>
              <w:rPr>
                <w:bCs/>
                <w:b/>
              </w:rPr>
              <w:t xml:space="preserve">A</w:t>
            </w:r>
            <w:r>
              <w:t xml:space="preserve"> </w:t>
            </w:r>
            <w:r>
              <w:t xml:space="preserve">FACS sorting of mutant library into low and high populations over after two rounds.</w:t>
            </w:r>
            <w:r>
              <w:t xml:space="preserve"> </w:t>
            </w:r>
            <w:r>
              <w:rPr>
                <w:bCs/>
                <w:b/>
              </w:rPr>
              <w:t xml:space="preserve">B</w:t>
            </w:r>
            <w:r>
              <w:t xml:space="preserve"> </w:t>
            </w:r>
            <w:r>
              <w:t xml:space="preserve">Nanopore long-read sequencing and mutant variation of high background (HB) and low background (LB), and HS and LS populations across DmpR protein sequence. DmpR domains are described in Park, KH. Et al. 2020. Lighter colours have higher variation.</w:t>
            </w:r>
            <w:r>
              <w:t xml:space="preserve"> </w:t>
            </w:r>
            <w:r>
              <w:rPr>
                <w:bCs/>
                <w:b/>
              </w:rPr>
              <w:t xml:space="preserve">C</w:t>
            </w:r>
            <w:r>
              <w:t xml:space="preserve"> </w:t>
            </w:r>
            <w:r>
              <w:t xml:space="preserve">Confusion matrix of predictions of validation set by trained background model.</w:t>
            </w:r>
          </w:p>
          <w:bookmarkEnd w:id="77"/>
        </w:tc>
      </w:tr>
    </w:tbl>
    <w:bookmarkEnd w:id="78"/>
    <w:bookmarkStart w:id="92" w:name="engineering-dmpr-for-multiple-phenotypes"/>
    <w:p>
      <w:pPr>
        <w:pStyle w:val="Heading3"/>
      </w:pPr>
      <w:r>
        <w:t xml:space="preserve">3.2.3 Engineering DmpR for Multiple Phenotypes</w:t>
      </w:r>
    </w:p>
    <w:p>
      <w:pPr>
        <w:pStyle w:val="FirstParagraph"/>
      </w:pPr>
      <w:r>
        <w:t xml:space="preserve">As both Signal and Background datasets stem from the same mutant library obtained with a standardized method, the models can be used in tandem to identify an ideal DmpR candidate. As the phenotypes are independent, a multi-label classification method, such as binary relevance or classifier chains, would be most suitable to predict the Signal and Background of a mutant candidate.</w:t>
      </w:r>
    </w:p>
    <w:tbl>
      <w:tblPr>
        <w:tblStyle w:val="Table"/>
        <w:tblW w:type="pct" w:w="5000"/>
        <w:tblLook w:firstRow="0" w:lastRow="0" w:firstColumn="0" w:lastColumn="0" w:noHBand="0" w:noVBand="0" w:val="0000"/>
        <w:jc w:val="start"/>
        <w:tblLayout w:type="fixed"/>
      </w:tblPr>
      <w:tblGrid>
        <w:gridCol w:w="7920"/>
      </w:tblGrid>
      <w:tr>
        <w:tc>
          <w:tcPr/>
          <w:bookmarkStart w:id="82" w:name="fig-binary_relevance"/>
          <w:p>
            <w:pPr>
              <w:pStyle w:val="Compact"/>
              <w:jc w:val="center"/>
            </w:pPr>
            <w:r>
              <w:drawing>
                <wp:inline>
                  <wp:extent cx="5334000" cy="2337905"/>
                  <wp:effectExtent b="0" l="0" r="0" t="0"/>
                  <wp:docPr descr="" title="" id="80" name="Picture"/>
                  <a:graphic>
                    <a:graphicData uri="http://schemas.openxmlformats.org/drawingml/2006/picture">
                      <pic:pic>
                        <pic:nvPicPr>
                          <pic:cNvPr descr="chapters/images/binary_relevance.png" id="81" name="Picture"/>
                          <pic:cNvPicPr>
                            <a:picLocks noChangeArrowheads="1" noChangeAspect="1"/>
                          </pic:cNvPicPr>
                        </pic:nvPicPr>
                        <pic:blipFill>
                          <a:blip r:embed="rId79"/>
                          <a:stretch>
                            <a:fillRect/>
                          </a:stretch>
                        </pic:blipFill>
                        <pic:spPr bwMode="auto">
                          <a:xfrm>
                            <a:off x="0" y="0"/>
                            <a:ext cx="5334000" cy="23379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3.3: Multiple phenotype analysis using binary relevance to identify an ideal DmpR biosensor.</w:t>
            </w:r>
            <w:r>
              <w:t xml:space="preserve"> </w:t>
            </w:r>
            <w:r>
              <w:rPr>
                <w:bCs/>
                <w:b/>
              </w:rPr>
              <w:t xml:space="preserve">A</w:t>
            </w:r>
            <w:r>
              <w:t xml:space="preserve"> </w:t>
            </w:r>
            <w:r>
              <w:t xml:space="preserve">Workflow to predict Signal and Background phenotypes on a given mutant sequence.</w:t>
            </w:r>
            <w:r>
              <w:t xml:space="preserve"> </w:t>
            </w:r>
            <w:r>
              <w:rPr>
                <w:bCs/>
                <w:b/>
              </w:rPr>
              <w:t xml:space="preserve">B</w:t>
            </w:r>
            <w:r>
              <w:t xml:space="preserve"> </w:t>
            </w:r>
            <w:r>
              <w:t xml:space="preserve">Expression analysis of mutants predicted to have low background and high signal. Relative Fluorescence (Fluorescence/OD) is across Y-axis, mutants on X-axis, green is the expression with phenol, grey is without.</w:t>
            </w:r>
          </w:p>
          <w:bookmarkEnd w:id="82"/>
        </w:tc>
      </w:tr>
    </w:tbl>
    <w:p>
      <w:pPr>
        <w:pStyle w:val="BodyText"/>
      </w:pPr>
      <w:r>
        <w:t xml:space="preserve">A binary relevance multi-label classification is obtained using a combination of the outputs from the the signal and background models on a single mutation</w:t>
      </w:r>
      <w:r>
        <w:t xml:space="preserve"> </w:t>
      </w:r>
      <w:r>
        <w:rPr>
          <w:iCs/>
          <w:i/>
        </w:rPr>
        <w:t xml:space="preserve">in-silico</w:t>
      </w:r>
      <w:r>
        <w:t xml:space="preserve"> </w:t>
      </w:r>
      <w:r>
        <w:t xml:space="preserve">library (</w:t>
      </w:r>
      <w:hyperlink w:anchor="fig-binary_relevance">
        <w:r>
          <w:rPr>
            <w:rStyle w:val="Hyperlink"/>
          </w:rPr>
          <w:t xml:space="preserve">Figure 3.3</w:t>
        </w:r>
      </w:hyperlink>
      <w:r>
        <w:t xml:space="preserve"> </w:t>
      </w:r>
      <w:r>
        <w:t xml:space="preserve">A). The primary advantage of binary relevance is its simplicity and ease of implementation. It allows for the use of well-established binary classification algorithms, such as logistic regression, support vector machines, or decision trees, for each label. This modular approach makes it easy to scale up the model for additional labels without needing to redesign the entire system. Moreover, binary relevance can handle imbalanced datasets relatively well, as each classifier focuses on its specific label independently. Predicted candidates were first sorted based on low background and then for high signal (</w:t>
      </w:r>
      <w:hyperlink w:anchor="fig-binary_relevance">
        <w:r>
          <w:rPr>
            <w:rStyle w:val="Hyperlink"/>
          </w:rPr>
          <w:t xml:space="preserve">Figure 3.3</w:t>
        </w:r>
      </w:hyperlink>
      <w:r>
        <w:t xml:space="preserve"> </w:t>
      </w:r>
      <w:r>
        <w:t xml:space="preserve">B).</w:t>
      </w:r>
    </w:p>
    <w:p>
      <w:pPr>
        <w:pStyle w:val="BodyText"/>
      </w:pPr>
      <w:r>
        <w:t xml:space="preserve">Top 19 mutants were constructed rapidly, and were identified with an in-house biofoundry workflow described in the next chapter. 89% of the samples had comparable background to wild type, with 53% being less than that of WT. 58% of the samples had comparable signal to WT with 42% being more than that of WT. None of the samples had high background with high activity, owing to the preference given to background while selecting the candidates. 33% of the samples (Mutants M45L, I168T, D91E, D91H, M320R and P482Q) had a higher fold change than that of WT.</w:t>
      </w:r>
    </w:p>
    <w:bookmarkStart w:id="91" w:name="Xfcfa90f048d450bf57e66a9dca314730f1b90c0"/>
    <w:p>
      <w:pPr>
        <w:pStyle w:val="Heading4"/>
      </w:pPr>
      <w:r>
        <w:t xml:space="preserve">3.2.3.1 Alternative Strategies for Predicting Multiple Phenotypes</w:t>
      </w:r>
    </w:p>
    <w:bookmarkStart w:id="86" w:name="classifier-chains"/>
    <w:p>
      <w:pPr>
        <w:pStyle w:val="Heading5"/>
      </w:pPr>
      <w:r>
        <w:t xml:space="preserve">3.2.3.1.1 Classifier Chains</w:t>
      </w:r>
    </w:p>
    <w:p>
      <w:pPr>
        <w:pStyle w:val="CaptionedFigure"/>
      </w:pPr>
      <w:r>
        <w:drawing>
          <wp:inline>
            <wp:extent cx="5334000" cy="3890032"/>
            <wp:effectExtent b="0" l="0" r="0" t="0"/>
            <wp:docPr descr="Multiple phenotype analysis using classifier chains to identify an ideal DmpR biosensor. A Workflow to predict Signal and Background phenotypes by augmenting missing labels and training a new model to predict on a given mutant sequence. B" title="" id="84" name="Picture"/>
            <a:graphic>
              <a:graphicData uri="http://schemas.openxmlformats.org/drawingml/2006/picture">
                <pic:pic>
                  <pic:nvPicPr>
                    <pic:cNvPr descr="chapters/images/classifier_chain.png" id="85" name="Picture"/>
                    <pic:cNvPicPr>
                      <a:picLocks noChangeArrowheads="1" noChangeAspect="1"/>
                    </pic:cNvPicPr>
                  </pic:nvPicPr>
                  <pic:blipFill>
                    <a:blip r:embed="rId83"/>
                    <a:stretch>
                      <a:fillRect/>
                    </a:stretch>
                  </pic:blipFill>
                  <pic:spPr bwMode="auto">
                    <a:xfrm>
                      <a:off x="0" y="0"/>
                      <a:ext cx="5334000" cy="3890032"/>
                    </a:xfrm>
                    <a:prstGeom prst="rect">
                      <a:avLst/>
                    </a:prstGeom>
                    <a:noFill/>
                    <a:ln w="9525">
                      <a:noFill/>
                      <a:headEnd/>
                      <a:tailEnd/>
                    </a:ln>
                  </pic:spPr>
                </pic:pic>
              </a:graphicData>
            </a:graphic>
          </wp:inline>
        </w:drawing>
      </w:r>
    </w:p>
    <w:p>
      <w:pPr>
        <w:pStyle w:val="ImageCaption"/>
      </w:pPr>
      <w:r>
        <w:t xml:space="preserve">Multiple phenotype analysis using classifier chains to identify an ideal DmpR biosensor.</w:t>
      </w:r>
      <w:r>
        <w:t xml:space="preserve"> </w:t>
      </w:r>
      <w:r>
        <w:rPr>
          <w:bCs/>
          <w:b/>
        </w:rPr>
        <w:t xml:space="preserve">A</w:t>
      </w:r>
      <w:r>
        <w:t xml:space="preserve"> </w:t>
      </w:r>
      <w:r>
        <w:t xml:space="preserve">Workflow to predict Signal and Background phenotypes by augmenting missing labels and training a new model to predict on a given mutant sequence.</w:t>
      </w:r>
      <w:r>
        <w:t xml:space="preserve"> </w:t>
      </w:r>
      <w:r>
        <w:rPr>
          <w:bCs/>
          <w:b/>
        </w:rPr>
        <w:t xml:space="preserve">B</w:t>
      </w:r>
    </w:p>
    <w:bookmarkEnd w:id="86"/>
    <w:bookmarkStart w:id="90" w:name="X13a3ea29e845bce49de6ab87d5c2aae106796c7"/>
    <w:p>
      <w:pPr>
        <w:pStyle w:val="Heading5"/>
      </w:pPr>
      <w:r>
        <w:t xml:space="preserve">3.2.3.1.2 Experimentally Creating Double Phenotypes as a Dataset</w:t>
      </w:r>
    </w:p>
    <w:p>
      <w:pPr>
        <w:pStyle w:val="FirstParagraph"/>
      </w:pPr>
      <w:r>
        <w:drawing>
          <wp:inline>
            <wp:extent cx="5334000" cy="2487202"/>
            <wp:effectExtent b="0" l="0" r="0" t="0"/>
            <wp:docPr descr="" title="" id="88" name="Picture"/>
            <a:graphic>
              <a:graphicData uri="http://schemas.openxmlformats.org/drawingml/2006/picture">
                <pic:pic>
                  <pic:nvPicPr>
                    <pic:cNvPr descr="chapters/images/multi-class.png" id="89" name="Picture"/>
                    <pic:cNvPicPr>
                      <a:picLocks noChangeArrowheads="1" noChangeAspect="1"/>
                    </pic:cNvPicPr>
                  </pic:nvPicPr>
                  <pic:blipFill>
                    <a:blip r:embed="rId87"/>
                    <a:stretch>
                      <a:fillRect/>
                    </a:stretch>
                  </pic:blipFill>
                  <pic:spPr bwMode="auto">
                    <a:xfrm>
                      <a:off x="0" y="0"/>
                      <a:ext cx="5334000" cy="2487202"/>
                    </a:xfrm>
                    <a:prstGeom prst="rect">
                      <a:avLst/>
                    </a:prstGeom>
                    <a:noFill/>
                    <a:ln w="9525">
                      <a:noFill/>
                      <a:headEnd/>
                      <a:tailEnd/>
                    </a:ln>
                  </pic:spPr>
                </pic:pic>
              </a:graphicData>
            </a:graphic>
          </wp:inline>
        </w:drawing>
      </w:r>
    </w:p>
    <w:bookmarkEnd w:id="90"/>
    <w:bookmarkEnd w:id="91"/>
    <w:bookmarkEnd w:id="92"/>
    <w:bookmarkStart w:id="96" w:name="engineering-mph-for-improved-activity"/>
    <w:p>
      <w:pPr>
        <w:pStyle w:val="Heading3"/>
      </w:pPr>
      <w:r>
        <w:t xml:space="preserve">3.2.4 Engineering MPH for improved Activity</w:t>
      </w:r>
    </w:p>
    <w:p>
      <w:pPr>
        <w:pStyle w:val="FirstParagraph"/>
      </w:pPr>
      <w:r>
        <w:t xml:space="preserve">To test for a wider application, we attempt to engineer an enzyme using HiAIPE. In a recent study, an MPH-based Genetic Enzyme Screening System (GESS)</w:t>
      </w:r>
      <w:r>
        <w:rPr>
          <w:vertAlign w:val="superscript"/>
        </w:rPr>
        <w:t xml:space="preserve">32</w:t>
      </w:r>
      <w:r>
        <w:t xml:space="preserve"> </w:t>
      </w:r>
      <w:r>
        <w:t xml:space="preserve">biosensor was constructed to break down toxic pesticides such as fenitrothion, chlorpyrifos, and ethyl p-nitrophenyl phenylphosphate (EPN). The nested genetic circuit is set up such that the substrate, here EPN is broken down by MPH, and the consequent product, para-Nitrophenol (pNP) binds to DmpR</w:t>
      </w:r>
      <w:r>
        <w:rPr>
          <w:vertAlign w:val="subscript"/>
        </w:rPr>
        <w:t xml:space="preserve">CK</w:t>
      </w:r>
      <w:r>
        <w:t xml:space="preserve"> </w:t>
      </w:r>
      <w:r>
        <w:t xml:space="preserve">and causes the expression of sfGFP (Figure 2G). However, as MPH is a membrane protein, activity from a highly active protein can directly influence the fluorescence of neighbouring cells providing a dataset that has large number of false positives. To localize the effect of pNP, solid-phase screening was employed. Here, MPH was engineered to degrade 10</w:t>
      </w:r>
      <m:oMath>
        <m:r>
          <m:t>μ</m:t>
        </m:r>
      </m:oMath>
      <w:r>
        <w:t xml:space="preserve">M of EPN. Owing to the presence of intermediates, the absence of substrates does not affect background fluorescence and should be as much as DmpR</w:t>
      </w:r>
      <w:r>
        <w:rPr>
          <w:vertAlign w:val="subscript"/>
        </w:rPr>
        <w:t xml:space="preserve">CK</w:t>
      </w:r>
      <w:r>
        <w:t xml:space="preserve">. However, some mutations in DmpR</w:t>
      </w:r>
      <w:r>
        <w:rPr>
          <w:vertAlign w:val="subscript"/>
        </w:rPr>
        <w:t xml:space="preserve">CK</w:t>
      </w:r>
      <w:r>
        <w:t xml:space="preserve">, possibly originating during vector backbone amplification or occurring</w:t>
      </w:r>
      <w:r>
        <w:t xml:space="preserve"> </w:t>
      </w:r>
      <w:r>
        <w:rPr>
          <w:iCs/>
          <w:i/>
        </w:rPr>
        <w:t xml:space="preserve">de novo</w:t>
      </w:r>
      <w:r>
        <w:t xml:space="preserve">, were enriched along with improved MPH variants. These plasmid sequences were filtered out after sequencing to reduce false positives and negatives (Supplementary Figures 5, 7). Similar to DmpR engineering, a simple binary classification CNN model was trained and used to predict the activity of a mutant in an MPH</w:t>
      </w:r>
      <w:r>
        <w:t xml:space="preserve"> </w:t>
      </w:r>
      <w:r>
        <w:rPr>
          <w:iCs/>
          <w:i/>
        </w:rPr>
        <w:t xml:space="preserve">in-silico</w:t>
      </w:r>
      <w:r>
        <w:t xml:space="preserve"> </w:t>
      </w:r>
      <w:r>
        <w:t xml:space="preserve">library (n = 100,000).</w:t>
      </w:r>
    </w:p>
    <w:p>
      <w:pPr>
        <w:pStyle w:val="BodyText"/>
      </w:pPr>
      <w:r>
        <w:drawing>
          <wp:inline>
            <wp:extent cx="5334000" cy="4208070"/>
            <wp:effectExtent b="0" l="0" r="0" t="0"/>
            <wp:docPr descr="" title="" id="94" name="Picture"/>
            <a:graphic>
              <a:graphicData uri="http://schemas.openxmlformats.org/drawingml/2006/picture">
                <pic:pic>
                  <pic:nvPicPr>
                    <pic:cNvPr descr="chapters/images/mph_epn_activity.png" id="95" name="Picture"/>
                    <pic:cNvPicPr>
                      <a:picLocks noChangeArrowheads="1" noChangeAspect="1"/>
                    </pic:cNvPicPr>
                  </pic:nvPicPr>
                  <pic:blipFill>
                    <a:blip r:embed="rId93"/>
                    <a:stretch>
                      <a:fillRect/>
                    </a:stretch>
                  </pic:blipFill>
                  <pic:spPr bwMode="auto">
                    <a:xfrm>
                      <a:off x="0" y="0"/>
                      <a:ext cx="5334000" cy="4208070"/>
                    </a:xfrm>
                    <a:prstGeom prst="rect">
                      <a:avLst/>
                    </a:prstGeom>
                    <a:noFill/>
                    <a:ln w="9525">
                      <a:noFill/>
                      <a:headEnd/>
                      <a:tailEnd/>
                    </a:ln>
                  </pic:spPr>
                </pic:pic>
              </a:graphicData>
            </a:graphic>
          </wp:inline>
        </w:drawing>
      </w:r>
    </w:p>
    <w:bookmarkEnd w:id="96"/>
    <w:bookmarkEnd w:id="97"/>
    <w:bookmarkStart w:id="98" w:name="future-considerations"/>
    <w:p>
      <w:pPr>
        <w:pStyle w:val="Heading2"/>
      </w:pPr>
      <w:r>
        <w:t xml:space="preserve">3.3 Future Considerations</w:t>
      </w:r>
    </w:p>
    <w:p>
      <w:pPr>
        <w:pStyle w:val="FirstParagraph"/>
      </w:pPr>
      <w:r>
        <w:t xml:space="preserve">Although this method focuses on engineering transcription factor proteins, it can be modified to target other types of proteins. Nested genetic circuits used in tools such as GESS can expand the range of proteins that can be screened on the basis of fluorescence using a single TF. Alternative approaches to high-throughput screening of enzymes for example, using chemoselective</w:t>
      </w:r>
      <w:r>
        <w:rPr>
          <w:vertAlign w:val="superscript"/>
        </w:rPr>
        <w:t xml:space="preserve">38</w:t>
      </w:r>
      <w:r>
        <w:t xml:space="preserve"> </w:t>
      </w:r>
      <w:r>
        <w:t xml:space="preserve">probes attached to the substrate and observing the change in fluorescence to determine the enzyme activity can substitute the use of a biosensor.</w:t>
      </w:r>
      <w:r>
        <w:br/>
      </w:r>
      <w:r>
        <w:t xml:space="preserve">Another limitation is relying on the raw read accuracy of Nanopore which is estimated at 99.5% which often results in random insertions and deletions in the reads. Nonetheless, technology is rapidly evolving to reduce such errors (Supplementary Figure 9). Alternatively, raw reads from PacBio HiFi long reads sequencing that has a raw read accuracy of 99.9% can be used in the same manner.</w:t>
      </w:r>
    </w:p>
    <w:p>
      <w:pPr>
        <w:pStyle w:val="BodyText"/>
      </w:pPr>
      <w:r>
        <w:t xml:space="preserve">HiAPE is a method to salvage and utilize the data that is often lost during directed evolution to generate an AI model that can provide a comprehensive outlook of a protein landscape. It can be applied as a general strategy to a variety of proteins provided the low and high-activity phenotypes can be separated. Multiple models on different properties can be developed and run in parallel from the same mutant library to provide an ideal candidate that fulfills all criteria. Although a fairly simple CNN model was utilized in this study, the data acquired can also be used to train more sophisticated single and multi-label architectures or to fine-tune pre-trained models, including language models to predict novel protein sequences for a targeted function. Through advanced data collection techniques, we can construct personalized models for different proteins which can be supplemented by autonomous robotic laboratories</w:t>
      </w:r>
      <w:r>
        <w:rPr>
          <w:vertAlign w:val="superscript"/>
        </w:rPr>
        <w:t xml:space="preserve">39</w:t>
      </w:r>
      <w:r>
        <w:t xml:space="preserve"> </w:t>
      </w:r>
      <w:r>
        <w:t xml:space="preserve">to facilitate rapid and efficient protein engineering.</w:t>
      </w:r>
    </w:p>
    <w:bookmarkEnd w:id="98"/>
    <w:bookmarkStart w:id="110" w:name="methods-1"/>
    <w:p>
      <w:pPr>
        <w:pStyle w:val="Heading2"/>
      </w:pPr>
      <w:r>
        <w:t xml:space="preserve">3.4 Methods</w:t>
      </w:r>
    </w:p>
    <w:bookmarkStart w:id="99" w:name="materials-bacterial-strains-and-plasmids"/>
    <w:p>
      <w:pPr>
        <w:pStyle w:val="Heading3"/>
      </w:pPr>
      <w:r>
        <w:t xml:space="preserve">3.4.1 Materials, Bacterial Strains and Plasmids</w:t>
      </w:r>
    </w:p>
    <w:p>
      <w:pPr>
        <w:pStyle w:val="FirstParagraph"/>
      </w:pPr>
      <w:r>
        <w:t xml:space="preserve">All chemicals were purchased from Sigma-Aldrich (Saint Louis, MO). All enzymes were purchases from New England Biolabs, NEB (Ipswich, MA). Nanopore kits and flow cells were purchased from Oxford Nanopore Technology (UK). All enzymatic reactions were performed using the Biometra TRobot II automated PCR cycler (Analytik Jena, Germany).</w:t>
      </w:r>
    </w:p>
    <w:p>
      <w:pPr>
        <w:pStyle w:val="BodyText"/>
      </w:pPr>
      <w:r>
        <w:t xml:space="preserve">All bacterial transformations and fluorescence assays were performed in</w:t>
      </w:r>
      <w:r>
        <w:t xml:space="preserve"> </w:t>
      </w:r>
      <w:r>
        <w:rPr>
          <w:iCs/>
          <w:i/>
        </w:rPr>
        <w:t xml:space="preserve">E. coli</w:t>
      </w:r>
      <w:r>
        <w:t xml:space="preserve"> </w:t>
      </w:r>
      <w:r>
        <w:t xml:space="preserve">strain DH5</w:t>
      </w:r>
      <m:oMath>
        <m:r>
          <m:t>α</m:t>
        </m:r>
      </m:oMath>
      <w:r>
        <w:t xml:space="preserve">. Initial genetic circuits were constructed using Golden Gate with BsmBI and BsaI ends. All constructs were constructed on the pACBB (Addgene MA, USA) vector along with a p15A origin of replication and chloramphenicol resistance. Gibson Assembly from NEB (#E2611) was used to construct plasmids for the mutant library and T4 Ligase for site-directed mutagenesis.</w:t>
      </w:r>
    </w:p>
    <w:bookmarkEnd w:id="99"/>
    <w:bookmarkStart w:id="100" w:name="design-genetic-circuit"/>
    <w:p>
      <w:pPr>
        <w:pStyle w:val="Heading3"/>
      </w:pPr>
      <w:r>
        <w:t xml:space="preserve">3.4.2 Design: Genetic Circuit</w:t>
      </w:r>
    </w:p>
    <w:p>
      <w:pPr>
        <w:pStyle w:val="FirstParagraph"/>
      </w:pPr>
      <w:r>
        <w:t xml:space="preserve">The DmpR construct was a double module adaptation of the GESS system described by SL Choi</w:t>
      </w:r>
      <w:r>
        <w:rPr>
          <w:vertAlign w:val="superscript"/>
        </w:rPr>
        <w:t xml:space="preserve">32</w:t>
      </w:r>
      <w:r>
        <w:t xml:space="preserve"> </w:t>
      </w:r>
      <w:r>
        <w:t xml:space="preserve">into a single plasmid, and the MPH construct was a modified high activity circuit (PH) to detect pesticides performed in a previous study (WJS, 2024). A B0032 ribosome binding site along with constitutive promoters J231109 and J231103 were used for expressing DmpR in the DmpR and MPH circuits respectively. Po, a DmpR-inducible promoter was used to express sfGFP for both constructs. The L2U3H03 terminator was used for DmpR</w:t>
      </w:r>
      <w:r>
        <w:rPr>
          <w:vertAlign w:val="subscript"/>
        </w:rPr>
        <w:t xml:space="preserve">WT</w:t>
      </w:r>
      <w:r>
        <w:t xml:space="preserve"> </w:t>
      </w:r>
      <w:r>
        <w:t xml:space="preserve">and sfGfP in the DmpR construct. The same was used for MPH and sfGFP, and L2U5H11 terminator was used for DmpR</w:t>
      </w:r>
      <w:r>
        <w:rPr>
          <w:vertAlign w:val="subscript"/>
        </w:rPr>
        <w:t xml:space="preserve">CK</w:t>
      </w:r>
      <w:r>
        <w:t xml:space="preserve"> </w:t>
      </w:r>
      <w:r>
        <w:t xml:space="preserve">in the MPH circuit (ref ML). Additionally, a RiboJ insulator was used on sfGFP and MPH. A palindromic sequence present between DmpR</w:t>
      </w:r>
      <w:r>
        <w:rPr>
          <w:vertAlign w:val="subscript"/>
        </w:rPr>
        <w:t xml:space="preserve">CK</w:t>
      </w:r>
      <w:r>
        <w:t xml:space="preserve"> </w:t>
      </w:r>
      <w:r>
        <w:t xml:space="preserve">and sfGFP in the original MPH circuit was replaced with the spacer used in the DmpR circuit. This was done to avoid inconsistencies that may occur during vector backbone elongation resulting in different expression levels of sfGFP. The detailed sequences of the plasmids used are provided in the Appendix</w:t>
      </w:r>
      <w:r>
        <w:rPr>
          <w:bCs/>
          <w:b/>
        </w:rPr>
        <w:t xml:space="preserve">.</w:t>
      </w:r>
    </w:p>
    <w:bookmarkEnd w:id="100"/>
    <w:bookmarkStart w:id="101" w:name="build-mutant-library"/>
    <w:p>
      <w:pPr>
        <w:pStyle w:val="Heading3"/>
      </w:pPr>
      <w:r>
        <w:t xml:space="preserve">3.4.3 Build: Mutant Library</w:t>
      </w:r>
    </w:p>
    <w:p>
      <w:pPr>
        <w:pStyle w:val="FirstParagraph"/>
      </w:pPr>
      <w:r>
        <w:t xml:space="preserve">Random mutant library of both DmpR and MPH was generated using the Diversify PCR mutagenesis kit (Takara Bio, Japan) following the manufacturers instructions to generate between 1-4.8 substitutions. Both the vector backbone and mutant library inserts were gel extracted using the Wizard SV Gel and PCR Clean-Up System Kit (A9281; Promega, USA) , treated with 1 U of DpnI (R0176L; NEB) at 37</w:t>
      </w:r>
      <w:r>
        <w:rPr>
          <w:vertAlign w:val="superscript"/>
        </w:rPr>
        <w:t xml:space="preserve">o</w:t>
      </w:r>
      <w:r>
        <w:t xml:space="preserve">C for 1 hour to digest any wild-type plasmids, and cloned using Gibson assembly (#E2611, NEB). The library was transformed into chemically competent DH5</w:t>
      </w:r>
      <m:oMath>
        <m:r>
          <m:t>α</m:t>
        </m:r>
      </m:oMath>
      <w:r>
        <w:t xml:space="preserve"> </w:t>
      </w:r>
      <w:r>
        <w:t xml:space="preserve">cells and spread on a 24.5 x 24.5 x 2.8 cm</w:t>
      </w:r>
      <w:r>
        <w:rPr>
          <w:vertAlign w:val="superscript"/>
        </w:rPr>
        <w:t xml:space="preserve">3</w:t>
      </w:r>
      <w:r>
        <w:t xml:space="preserve"> </w:t>
      </w:r>
      <w:r>
        <w:t xml:space="preserve">Luria-Bertani (LB) plate with chloramphenicol to be incubated at 37</w:t>
      </w:r>
      <w:r>
        <w:rPr>
          <w:vertAlign w:val="superscript"/>
        </w:rPr>
        <w:t xml:space="preserve">o</w:t>
      </w:r>
      <w:r>
        <w:t xml:space="preserve">C. The following morning, libraries were harvested in LB and stored as stock at -80</w:t>
      </w:r>
      <w:r>
        <w:rPr>
          <w:vertAlign w:val="superscript"/>
        </w:rPr>
        <w:t xml:space="preserve">o</w:t>
      </w:r>
      <w:r>
        <w:t xml:space="preserve">C with 25% glycerol. Both libraries sizes were approximately 3 x 10</w:t>
      </w:r>
      <w:r>
        <w:rPr>
          <w:vertAlign w:val="superscript"/>
        </w:rPr>
        <w:t xml:space="preserve">4</w:t>
      </w:r>
      <w:r>
        <w:t xml:space="preserve"> </w:t>
      </w:r>
      <w:r>
        <w:t xml:space="preserve">unique clones.</w:t>
      </w:r>
    </w:p>
    <w:bookmarkEnd w:id="101"/>
    <w:bookmarkStart w:id="104" w:name="test"/>
    <w:p>
      <w:pPr>
        <w:pStyle w:val="Heading3"/>
      </w:pPr>
      <w:r>
        <w:t xml:space="preserve">3.4.4 Test</w:t>
      </w:r>
    </w:p>
    <w:bookmarkStart w:id="102" w:name="phenotyping-with-flow-cytometry"/>
    <w:p>
      <w:pPr>
        <w:pStyle w:val="Heading4"/>
      </w:pPr>
      <w:r>
        <w:t xml:space="preserve">3.4.4.1 Phenotyping with Flow Cytometry</w:t>
      </w:r>
    </w:p>
    <w:p>
      <w:pPr>
        <w:pStyle w:val="FirstParagraph"/>
      </w:pPr>
      <w:r>
        <w:t xml:space="preserve">Liquid-phase substrate induction was used for the DmpR and and solid-phase for MPH. For the liquid-phase induction, the stock mutant library was thawed and added to liquid LB media supplemented with 34</w:t>
      </w:r>
      <m:oMath>
        <m:r>
          <m:t>μ</m:t>
        </m:r>
      </m:oMath>
      <w:r>
        <w:t xml:space="preserve">g/mL chloramphenicol up to an OD of 0.4 and allowed to incubate at 37</w:t>
      </w:r>
      <w:r>
        <w:rPr>
          <w:vertAlign w:val="superscript"/>
        </w:rPr>
        <w:t xml:space="preserve">o</w:t>
      </w:r>
      <w:r>
        <w:t xml:space="preserve">C with (and without) 10</w:t>
      </w:r>
      <w:r>
        <w:t xml:space="preserve"> </w:t>
      </w:r>
      <m:oMath>
        <m:r>
          <m:t>μ</m:t>
        </m:r>
      </m:oMath>
      <w:r>
        <w:t xml:space="preserve">M phenol for 6-8 hrs in a shaker at 220rpm. The solid-phase induction was performed on LB agar plates with 34</w:t>
      </w:r>
      <m:oMath>
        <m:r>
          <m:t>μ</m:t>
        </m:r>
      </m:oMath>
      <w:r>
        <w:t xml:space="preserve">g/mL chloramphenicol, on which substrates EPN, dissolved in 500</w:t>
      </w:r>
      <m:oMath>
        <m:r>
          <m:t>μ</m:t>
        </m:r>
      </m:oMath>
      <w:r>
        <w:t xml:space="preserve">l DMSO were first spread on to obtain a final concentration of 10</w:t>
      </w:r>
      <w:r>
        <w:t xml:space="preserve"> </w:t>
      </w:r>
      <m:oMath>
        <m:r>
          <m:t>μ</m:t>
        </m:r>
      </m:oMath>
      <w:r>
        <w:t xml:space="preserve">M respectively; stock cells of up to 0.05 OD (~20,000 colonies) were spread on the substrate plate and allowed to grow in 37</w:t>
      </w:r>
      <w:r>
        <w:rPr>
          <w:vertAlign w:val="superscript"/>
        </w:rPr>
        <w:t xml:space="preserve">o</w:t>
      </w:r>
      <w:r>
        <w:t xml:space="preserve">C overnight (16 hours) after which it was harvested for further flow cytometry analysis.</w:t>
      </w:r>
    </w:p>
    <w:p>
      <w:pPr>
        <w:pStyle w:val="BodyText"/>
      </w:pPr>
      <w:r>
        <w:t xml:space="preserve">Each culture sample was added to PBS at a 1:100 ratio to be analyzed and sorted with FACSAriaIII (BD Biosciences, Franklin Lakes, NJ), running on the BD FACSDiva v7.0 software. Fluorescence from sfGFP was observed using a blue laser (488nm) and a BP filter (530/30 nm), and cells were sorted with a 70</w:t>
      </w:r>
      <w:r>
        <w:t xml:space="preserve"> </w:t>
      </w:r>
      <m:oMath>
        <m:r>
          <m:t>μ</m:t>
        </m:r>
      </m:oMath>
      <w:r>
        <w:t xml:space="preserve">m nozzle. Gates based on 1% of the high and ??% of the low population WT expression levels were used to sort 20,000 and 50,000 cells from the DmpR and MPH mutant library respectively. Sorted cells were plated on two 90mm LB agar plates supplemented with chloramphenicol for DmpR analysis, and on a 150mm LB plate with chloramphenicol and substrate for MPH analysis. Subsequent rounds (two for DmpR, three for MPH) were performed till the population graphs for low expression and high expression were distinct and had no overlaps</w:t>
      </w:r>
    </w:p>
    <w:p>
      <w:pPr>
        <w:pStyle w:val="BodyText"/>
      </w:pPr>
      <w:r>
        <w:t xml:space="preserve">All the samples were visualized on the FACS Visualizing tool described in Chapter 2</w:t>
      </w:r>
    </w:p>
    <w:bookmarkEnd w:id="102"/>
    <w:bookmarkStart w:id="103" w:name="genotyping-with-a-long-read-sequencer"/>
    <w:p>
      <w:pPr>
        <w:pStyle w:val="Heading4"/>
      </w:pPr>
      <w:r>
        <w:t xml:space="preserve">3.4.4.2 Genotyping with a Long-read Sequencer</w:t>
      </w:r>
    </w:p>
    <w:p>
      <w:pPr>
        <w:pStyle w:val="FirstParagraph"/>
      </w:pPr>
      <w:r>
        <w:t xml:space="preserve">Final round samples were grown from respective stock solutions up to 1 OD in 5ml LB solution at 37</w:t>
      </w:r>
      <w:r>
        <w:rPr>
          <w:vertAlign w:val="superscript"/>
        </w:rPr>
        <w:t xml:space="preserve">o</w:t>
      </w:r>
      <w:r>
        <w:t xml:space="preserve">C in a shaking incubator. Plasmids were extracted using the Wizard Plus SV Miniprep Kit (A1330, Promega, USA) to provide 1000-3000ng of DNA. As Nanopore sequencing works with linear DNA, these plasmids were linearized using a restriction enzyme and phosphate groups were removed using a phosphatase to prevent the sticky ends from ligating again. Here, we treated the plasmids with 1 U of EcoRI-HF (R3101S; NEB) and Alkaline Phosphatase (M0371S; NEB) for 2 hours at 37</w:t>
      </w:r>
      <w:r>
        <w:rPr>
          <w:vertAlign w:val="superscript"/>
        </w:rPr>
        <w:t xml:space="preserve">o</w:t>
      </w:r>
      <w:r>
        <w:t xml:space="preserve">C and inactivated at 85</w:t>
      </w:r>
      <w:r>
        <w:rPr>
          <w:vertAlign w:val="superscript"/>
        </w:rPr>
        <w:t xml:space="preserve">o</w:t>
      </w:r>
      <w:r>
        <w:t xml:space="preserve">C for 20 minutes on a thermocycler. A single EcoRI restriction site was present at a distance of 135bp and 175bp from DmpR</w:t>
      </w:r>
      <w:r>
        <w:rPr>
          <w:vertAlign w:val="subscript"/>
        </w:rPr>
        <w:t xml:space="preserve">WT</w:t>
      </w:r>
      <w:r>
        <w:t xml:space="preserve"> </w:t>
      </w:r>
      <w:r>
        <w:t xml:space="preserve">and MPH respectively, which allowed for accurate sequencing. The transposase-based Rapid Barcoding Kit (SQK-RBK114.24) by ONT that allows for a single random nick in plasmids can also be used to linearize the DNA, however, to have increased yield and control during data processing, the restriction enzyme protocol was implemented.</w:t>
      </w:r>
    </w:p>
    <w:p>
      <w:pPr>
        <w:pStyle w:val="BodyText"/>
      </w:pPr>
      <w:r>
        <w:t xml:space="preserve">Nanopore sample preparation was performed using the Native Barcoding Kit 24 V14 (SQK-NBD114.24). DNA loss was minimized by implementing the following modifications to the SQK-NBD114.24:</w:t>
      </w:r>
    </w:p>
    <w:p>
      <w:pPr>
        <w:numPr>
          <w:ilvl w:val="0"/>
          <w:numId w:val="1004"/>
        </w:numPr>
      </w:pPr>
      <w:r>
        <w:t xml:space="preserve">Initial volumes were 50</w:t>
      </w:r>
      <w:r>
        <w:t xml:space="preserve"> </w:t>
      </w:r>
      <m:oMath>
        <m:r>
          <m:t>μ</m:t>
        </m:r>
      </m:oMath>
      <w:r>
        <w:rPr>
          <w:iCs/>
          <w:i/>
        </w:rPr>
        <w:t xml:space="preserve">l</w:t>
      </w:r>
      <w:r>
        <w:t xml:space="preserve">, resulting in the volumes of the enzymes and AMPure XP beads used for the initial DNA-repair and End-prep step to be adjusted as well.</w:t>
      </w:r>
    </w:p>
    <w:p>
      <w:pPr>
        <w:numPr>
          <w:ilvl w:val="0"/>
          <w:numId w:val="1004"/>
        </w:numPr>
      </w:pPr>
      <w:r>
        <w:t xml:space="preserve">Due to loss of DNA during sample preparation, the initial amount of DNA used was ~2</w:t>
      </w:r>
      <w:r>
        <w:t xml:space="preserve"> </w:t>
      </w:r>
      <m:oMath>
        <m:r>
          <m:t>μ</m:t>
        </m:r>
      </m:oMath>
      <w:r>
        <w:t xml:space="preserve">g for each sample as opposed to 1</w:t>
      </w:r>
      <w:r>
        <w:t xml:space="preserve"> </w:t>
      </w:r>
      <m:oMath>
        <m:r>
          <m:t>μ</m:t>
        </m:r>
      </m:oMath>
      <w:r>
        <w:t xml:space="preserve">g.</w:t>
      </w:r>
    </w:p>
    <w:p>
      <w:pPr>
        <w:numPr>
          <w:ilvl w:val="0"/>
          <w:numId w:val="1004"/>
        </w:numPr>
      </w:pPr>
      <w:r>
        <w:t xml:space="preserve">Elution conditions for all steps were for 20 min at 37</w:t>
      </w:r>
      <w:r>
        <w:rPr>
          <w:vertAlign w:val="superscript"/>
        </w:rPr>
        <w:t xml:space="preserve">o</w:t>
      </w:r>
      <w:r>
        <w:t xml:space="preserve">C.</w:t>
      </w:r>
    </w:p>
    <w:p>
      <w:pPr>
        <w:pStyle w:val="FirstParagraph"/>
      </w:pPr>
      <w:r>
        <w:t xml:space="preserve">To maximize outputs for each sample, not more than 4 samples were inputted at the same time with the help of the Nanopore Barcodes.</w:t>
      </w:r>
    </w:p>
    <w:p>
      <w:pPr>
        <w:pStyle w:val="BodyText"/>
      </w:pPr>
      <w:r>
        <w:t xml:space="preserve">All sequencing was performed at 37</w:t>
      </w:r>
      <w:r>
        <w:rPr>
          <w:vertAlign w:val="superscript"/>
        </w:rPr>
        <w:t xml:space="preserve">o</w:t>
      </w:r>
      <w:r>
        <w:t xml:space="preserve">C using MinION flow cells (R.10.4.1 chemistry) on a GridION (ONT, UK) operated by ONT’s proprietary software, MinKNOW. Flow cells with more than approximately 800 pores were used for sequencing the sorted samples and the run lasted 30 hours. The flow cells were washed with the Flow Cell Wash Kit (EXP-WSH001). The raw nanopore POD5 reads were then basecalled using the Super Accurate models in Dorado offered by ONT and saved as FASTQ files with 4000 reads in each file.</w:t>
      </w:r>
    </w:p>
    <w:bookmarkEnd w:id="103"/>
    <w:bookmarkEnd w:id="104"/>
    <w:bookmarkStart w:id="109" w:name="learn"/>
    <w:p>
      <w:pPr>
        <w:pStyle w:val="Heading3"/>
      </w:pPr>
      <w:r>
        <w:t xml:space="preserve">3.4.5 Learn</w:t>
      </w:r>
    </w:p>
    <w:bookmarkStart w:id="105" w:name="sequence-data-preprocessing"/>
    <w:p>
      <w:pPr>
        <w:pStyle w:val="Heading4"/>
      </w:pPr>
      <w:r>
        <w:t xml:space="preserve">3.4.5.1 Sequence Data Preprocessing</w:t>
      </w:r>
    </w:p>
    <w:p>
      <w:pPr>
        <w:pStyle w:val="FirstParagraph"/>
      </w:pPr>
      <w:r>
        <w:t xml:space="preserve">The reads were first mapped to the WT sequence using Minimap2</w:t>
      </w:r>
      <w:r>
        <w:rPr>
          <w:vertAlign w:val="superscript"/>
        </w:rPr>
        <w:t xml:space="preserve">40</w:t>
      </w:r>
      <w:r>
        <w:t xml:space="preserve"> </w:t>
      </w:r>
      <w:r>
        <w:t xml:space="preserve">to make SAM files, which were then consolidated, sorted, and managed using SAMtools</w:t>
      </w:r>
      <w:r>
        <w:rPr>
          <w:vertAlign w:val="superscript"/>
        </w:rPr>
        <w:t xml:space="preserve">41</w:t>
      </w:r>
      <w:r>
        <w:t xml:space="preserve">. As we needed the entire length of the reads, BEDtools</w:t>
      </w:r>
      <w:r>
        <w:rPr>
          <w:vertAlign w:val="superscript"/>
        </w:rPr>
        <w:t xml:space="preserve">42</w:t>
      </w:r>
      <w:r>
        <w:t xml:space="preserve"> </w:t>
      </w:r>
      <w:r>
        <w:t xml:space="preserve">was used to identify fully mapped reads and a custom python script was used to extract these reads by name. For observing the variance across the different rounds, command line IGVtools</w:t>
      </w:r>
      <w:r>
        <w:rPr>
          <w:vertAlign w:val="superscript"/>
        </w:rPr>
        <w:t xml:space="preserve">43</w:t>
      </w:r>
      <w:r>
        <w:t xml:space="preserve"> </w:t>
      </w:r>
      <w:r>
        <w:t xml:space="preserve">was used to generate WIG files on the distribution of nucleotides observed at each position. All third-party software was incorporated into a single Docker</w:t>
      </w:r>
      <w:r>
        <w:rPr>
          <w:vertAlign w:val="superscript"/>
        </w:rPr>
        <w:t xml:space="preserve">44</w:t>
      </w:r>
      <w:r>
        <w:t xml:space="preserve"> </w:t>
      </w:r>
      <w:r>
        <w:t xml:space="preserve">container for ease of use and custom scripts are available on GitHub (Availablility of Data and Code).</w:t>
      </w:r>
    </w:p>
    <w:bookmarkEnd w:id="105"/>
    <w:bookmarkStart w:id="106" w:name="training-deep-learning-models"/>
    <w:p>
      <w:pPr>
        <w:pStyle w:val="Heading4"/>
      </w:pPr>
      <w:r>
        <w:t xml:space="preserve">3.4.5.2 Training Deep Learning Models</w:t>
      </w:r>
    </w:p>
    <w:p>
      <w:pPr>
        <w:pStyle w:val="FirstParagraph"/>
      </w:pPr>
      <w:r>
        <w:t xml:space="preserve">All processed sequences were encoded using the one-hot encoded method. To account for any sequencing errors (insertions/deletions) the reads were padded 1% more than the target sequence length. The encoded sequences were then divided into training, validation and testing datasets in a 2:1:1 manner. The CNN were built using tensorflow (v2.12.0) in Python. A skeleton CNN model architecture for which the hyperparameters such as number of layers, number of epochs, activation functions, size of the filters, along with the optimization function used. A Bayesian optimization function (scikit-optimize v0.9.0) was utilized to select for appropriate hyperparameters by using the validation MCC metric as the scorer. The model with the best validation MCC score was selected. The models being binary classifications, the final Dense Layers were fixed and were activated with a sigmoid function.</w:t>
      </w:r>
    </w:p>
    <w:p>
      <w:pPr>
        <w:pStyle w:val="BodyText"/>
      </w:pPr>
      <w:r>
        <w:t xml:space="preserve">For the DmpR circuit, the input dimensions were [1784, 4,</w:t>
      </w:r>
      <w:r>
        <w:t xml:space="preserve"> </w:t>
      </w:r>
      <m:oMath>
        <m:r>
          <m:t>n</m:t>
        </m:r>
      </m:oMath>
      <w:r>
        <w:t xml:space="preserve">], which correspond to [length of padded DmpR sequences, nucleotide, number of reads]. The Signal phenotype’s final model comprised of 3 Conv1D layers with 49 filters with a MaxPooling layer between each convolution layer resulting in total parameters of 34,342. The background model had 3 Conv1D layers with 200 filters in each Conv1D layer and resulted in total 268,150 trainable parameters. Multi-label classification was done by running the trained signal and background models simultaneously on the same</w:t>
      </w:r>
      <w:r>
        <w:t xml:space="preserve"> </w:t>
      </w:r>
      <w:r>
        <w:rPr>
          <w:iCs/>
          <w:i/>
        </w:rPr>
        <w:t xml:space="preserve">in-silico</w:t>
      </w:r>
      <w:r>
        <w:t xml:space="preserve"> </w:t>
      </w:r>
      <w:r>
        <w:t xml:space="preserve">mutant library. The predicted sorted samples were first sorted in increasing order of the background as lower background was given a higher preference.</w:t>
      </w:r>
    </w:p>
    <w:p>
      <w:pPr>
        <w:pStyle w:val="BodyText"/>
      </w:pPr>
      <w:r>
        <w:t xml:space="preserve">In the case of MPH, The model had input dimensions of [1000, 4, n]. After optimizing its hyperparameters, the final model had 4 Conv1D layers with 200 filters in each layer and resulted in 490,433 trainable parameters.</w:t>
      </w:r>
    </w:p>
    <w:bookmarkEnd w:id="106"/>
    <w:bookmarkStart w:id="107" w:name="predicting-multiple-phenotypes"/>
    <w:p>
      <w:pPr>
        <w:pStyle w:val="Heading4"/>
      </w:pPr>
      <w:r>
        <w:t xml:space="preserve">3.4.5.3 Predicting Multiple Phenotypes</w:t>
      </w:r>
    </w:p>
    <w:p>
      <w:pPr>
        <w:pStyle w:val="FirstParagraph"/>
      </w:pPr>
      <w:r>
        <w:t xml:space="preserve">Multi-label classification was done by running the trained signal and background models simultaneously on the same</w:t>
      </w:r>
      <w:r>
        <w:t xml:space="preserve"> </w:t>
      </w:r>
      <w:r>
        <w:rPr>
          <w:iCs/>
          <w:i/>
        </w:rPr>
        <w:t xml:space="preserve">in-silico</w:t>
      </w:r>
      <w:r>
        <w:t xml:space="preserve"> </w:t>
      </w:r>
      <w:r>
        <w:t xml:space="preserve">mutant library. The predicted sorted samples were first sorted in increasing order of the background as lower background was given a higher preference.</w:t>
      </w:r>
    </w:p>
    <w:p>
      <w:pPr>
        <w:numPr>
          <w:ilvl w:val="0"/>
          <w:numId w:val="1005"/>
        </w:numPr>
        <w:pStyle w:val="Compact"/>
      </w:pPr>
      <w:r>
        <w:t xml:space="preserve">Binary Relevance vs Classifier vs Multiclass Classifications</w:t>
      </w:r>
    </w:p>
    <w:bookmarkEnd w:id="107"/>
    <w:bookmarkStart w:id="108" w:name="analyzing-data-for-visualization"/>
    <w:p>
      <w:pPr>
        <w:pStyle w:val="Heading4"/>
      </w:pPr>
      <w:r>
        <w:t xml:space="preserve">3.4.5.4 Analyzing Data for Visualization</w:t>
      </w:r>
    </w:p>
    <w:p>
      <w:pPr>
        <w:pStyle w:val="FirstParagraph"/>
      </w:pPr>
      <w:r>
        <w:t xml:space="preserve">To observe the spread and variation in the error-prone PCR mutagenesis, the mutant library and WT were sequence at the same time. Nanopore sequencing with R10.4.1 chemistry and SUP basecalling is known to have a single read accuracy of ~99.5%</w:t>
      </w:r>
      <w:r>
        <w:rPr>
          <w:vertAlign w:val="superscript"/>
        </w:rPr>
        <w:t xml:space="preserve">45</w:t>
      </w:r>
      <w:r>
        <w:t xml:space="preserve">, suggesting there are ~5 errors per kb. Here, the variance in WT sequenced reads are used as a threshold for the error rate in the mutant library.</w:t>
      </w:r>
    </w:p>
    <w:p>
      <w:pPr>
        <w:pStyle w:val="BodyText"/>
      </w:pPr>
      <w:r>
        <w:t xml:space="preserve">The variation</w:t>
      </w:r>
      <w:r>
        <w:t xml:space="preserve"> </w:t>
      </w:r>
      <m:oMath>
        <m:r>
          <m:t>v</m:t>
        </m:r>
      </m:oMath>
      <w:r>
        <w:t xml:space="preserve"> </w:t>
      </w:r>
      <w:r>
        <w:t xml:space="preserve">at a specific position</w:t>
      </w:r>
      <w:r>
        <w:t xml:space="preserve"> </w:t>
      </w:r>
      <m:oMath>
        <m:r>
          <m:t>i</m:t>
        </m:r>
      </m:oMath>
      <w:r>
        <w:t xml:space="preserve"> </w:t>
      </w:r>
      <w:r>
        <w:t xml:space="preserve">can be defined as:</w:t>
      </w:r>
    </w:p>
    <w:p>
      <w:pPr>
        <w:pStyle w:val="BodyText"/>
      </w:pPr>
      <w:r>
        <w:t xml:space="preserve">$$ v_i = {\sum n_i' \over n_i} * 100 $$</w:t>
      </w:r>
    </w:p>
    <w:p>
      <w:pPr>
        <w:pStyle w:val="FirstParagraph"/>
      </w:pPr>
      <w:r>
        <w:t xml:space="preserve">where</w:t>
      </w:r>
      <w:r>
        <w:t xml:space="preserve"> </w:t>
      </w:r>
      <m:oMath>
        <m:sSub>
          <m:e>
            <m:r>
              <m:t>n</m:t>
            </m:r>
          </m:e>
          <m:sub>
            <m:r>
              <m:t>i</m:t>
            </m:r>
          </m:sub>
        </m:sSub>
        <m:r>
          <m:rPr>
            <m:sty m:val="p"/>
          </m:rPr>
          <m:t>′</m:t>
        </m:r>
      </m:oMath>
      <w:r>
        <w:t xml:space="preserve"> </w:t>
      </w:r>
      <w:r>
        <w:t xml:space="preserve">are the occurrences of all nucleotides excluding WT and</w:t>
      </w:r>
      <w:r>
        <w:t xml:space="preserve"> </w:t>
      </w:r>
      <m:oMath>
        <m:sSub>
          <m:e>
            <m:r>
              <m:t>n</m:t>
            </m:r>
          </m:e>
          <m:sub>
            <m:r>
              <m:t>i</m:t>
            </m:r>
          </m:sub>
        </m:sSub>
      </m:oMath>
      <w:r>
        <w:t xml:space="preserve"> </w:t>
      </w:r>
      <w:r>
        <w:t xml:space="preserve">are the occurrences of the WT nucleotides at position</w:t>
      </w:r>
      <w:r>
        <w:t xml:space="preserve"> </w:t>
      </w:r>
      <m:oMath>
        <m:r>
          <m:t>i</m:t>
        </m:r>
      </m:oMath>
      <w:r>
        <w:t xml:space="preserve"> </w:t>
      </w:r>
      <w:r>
        <w:t xml:space="preserve">in a sequence run of a single population.</w:t>
      </w:r>
    </w:p>
    <w:p>
      <w:pPr>
        <w:pStyle w:val="BodyText"/>
      </w:pPr>
      <w:r>
        <w:t xml:space="preserve">We define the variation of the</w:t>
      </w:r>
      <w:r>
        <w:t xml:space="preserve"> </w:t>
      </w:r>
      <m:oMath>
        <m:r>
          <m:t>i</m:t>
        </m:r>
      </m:oMath>
      <w:r>
        <w:t xml:space="preserve">th nucleotide in the mutant library as:</w:t>
      </w:r>
    </w:p>
    <w:p>
      <w:pPr>
        <w:pStyle w:val="BodyText"/>
      </w:pPr>
      <w:r>
        <w:t xml:space="preserve">$$ V_i = ({\sum ml_i' \over ml_i} * 100 ) - ({\sum wt_i' \over wt_i} * 100 ) $$</w:t>
      </w:r>
    </w:p>
    <w:p>
      <w:pPr>
        <w:pStyle w:val="FirstParagraph"/>
      </w:pPr>
      <w:r>
        <w:t xml:space="preserve">where</w:t>
      </w:r>
      <w:r>
        <w:t xml:space="preserve"> </w:t>
      </w:r>
      <m:oMath>
        <m:r>
          <m:t>m</m:t>
        </m:r>
        <m:r>
          <m:t>l</m:t>
        </m:r>
      </m:oMath>
      <w:r>
        <w:t xml:space="preserve"> </w:t>
      </w:r>
      <w:r>
        <w:t xml:space="preserve">refers to the mutant library sequenced samples and</w:t>
      </w:r>
      <w:r>
        <w:t xml:space="preserve"> </w:t>
      </w:r>
      <m:oMath>
        <m:r>
          <m:t>w</m:t>
        </m:r>
        <m:r>
          <m:t>t</m:t>
        </m:r>
      </m:oMath>
      <w:r>
        <w:t xml:space="preserve"> </w:t>
      </w:r>
      <w:r>
        <w:t xml:space="preserve">refers to the the WT sequenced samples.</w:t>
      </w:r>
    </w:p>
    <w:p>
      <w:pPr>
        <w:pStyle w:val="BodyText"/>
      </w:pPr>
      <w:r>
        <w:t xml:space="preserve">All graphs were constructed on python using the seaborn package (v0.13.0) in Python. Data from FACS was analyzed using the FlowCal package (v1.3.0)</w:t>
      </w:r>
      <w:r>
        <w:rPr>
          <w:vertAlign w:val="superscript"/>
        </w:rPr>
        <w:t xml:space="preserve">23</w:t>
      </w:r>
      <w:r>
        <w:t xml:space="preserve"> </w:t>
      </w:r>
      <w:r>
        <w:t xml:space="preserve">and visualized using seaborn. WIG files of sequenced mutant libraries generated using IGVtools</w:t>
      </w:r>
      <w:r>
        <w:rPr>
          <w:vertAlign w:val="superscript"/>
        </w:rPr>
        <w:t xml:space="preserve">23</w:t>
      </w:r>
      <w:r>
        <w:t xml:space="preserve"> </w:t>
      </w:r>
      <w:r>
        <w:t xml:space="preserve">provided positional nucleotide information and visualized using seaborn. Streamlit applications for both were constructed for public use (</w:t>
      </w:r>
      <w:hyperlink r:id="rId56">
        <w:r>
          <w:rPr>
            <w:rStyle w:val="Hyperlink"/>
          </w:rPr>
          <w:t xml:space="preserve">https://facsvisualization.streamlit.app/</w:t>
        </w:r>
      </w:hyperlink>
      <w:r>
        <w:t xml:space="preserve"> </w:t>
      </w:r>
      <w:r>
        <w:t xml:space="preserve">and</w:t>
      </w:r>
      <w:r>
        <w:t xml:space="preserve"> </w:t>
      </w:r>
      <w:hyperlink r:id="rId58">
        <w:r>
          <w:rPr>
            <w:rStyle w:val="Hyperlink"/>
          </w:rPr>
          <w:t xml:space="preserve">https://libraryanalysis.streamlit.app/</w:t>
        </w:r>
      </w:hyperlink>
      <w:r>
        <w:t xml:space="preserve">).</w:t>
      </w:r>
    </w:p>
    <w:bookmarkEnd w:id="108"/>
    <w:bookmarkEnd w:id="109"/>
    <w:bookmarkEnd w:id="110"/>
    <w:bookmarkEnd w:id="111"/>
    <w:bookmarkStart w:id="125" w:name="Xed713cdf3857a7e709c6929280011f78b0fcf81"/>
    <w:p>
      <w:pPr>
        <w:pStyle w:val="Heading1"/>
      </w:pPr>
      <w:r>
        <w:t xml:space="preserve">4. Biofoundry-based Production and Multiplexed Identification of Mutants</w:t>
      </w:r>
    </w:p>
    <w:bookmarkStart w:id="112" w:name="introduction-3"/>
    <w:p>
      <w:pPr>
        <w:pStyle w:val="Heading2"/>
      </w:pPr>
      <w:r>
        <w:t xml:space="preserve">4.1 Introduction</w:t>
      </w:r>
    </w:p>
    <w:bookmarkEnd w:id="112"/>
    <w:bookmarkStart w:id="113" w:name="results-1"/>
    <w:p>
      <w:pPr>
        <w:pStyle w:val="Heading2"/>
      </w:pPr>
      <w:r>
        <w:t xml:space="preserve">4.2 Results</w:t>
      </w:r>
    </w:p>
    <w:p>
      <w:pPr>
        <w:pStyle w:val="FirstParagraph"/>
      </w:pPr>
      <w:r>
        <w:t xml:space="preserve">Top 19 mutants were parallely constructed rapidly, and were identified with an in-house biofoundry workflow (Methods: Mutant generation and evaluation). 89% of the samples had comparable background to wild type, with 53% being less than that of WT. 58% of the samples had comparable signal to WT with 42% being more than that of WT. None of the samples had high background with high activity, owing to the prefrence given to background while selecting the candidates. 33% of the samples (Mutants M45L, I168T, D91E, D91H, M320R and P482Q) had a higher fold change than that of WT.</w:t>
      </w:r>
    </w:p>
    <w:p>
      <w:pPr>
        <w:pStyle w:val="BodyText"/>
      </w:pPr>
      <w:r>
        <w:t xml:space="preserve">Using the positional information, the role and importance of the residue can be interpreted. For example, P482Q is present at a linker between the ATPase domain and the DNA binding domain. Substituting proline for glutamine may promote water-based H-bonding which improves flexible binding and release of the TF from the promoter DNA.</w:t>
      </w:r>
    </w:p>
    <w:p>
      <w:pPr>
        <w:pStyle w:val="BodyText"/>
      </w:pPr>
      <w:r>
        <w:t xml:space="preserve">DmpR</w:t>
      </w:r>
    </w:p>
    <w:p>
      <w:pPr>
        <w:pStyle w:val="BodyText"/>
      </w:pPr>
      <w:r>
        <w:t xml:space="preserve">MPH</w:t>
      </w:r>
    </w:p>
    <w:bookmarkEnd w:id="113"/>
    <w:bookmarkStart w:id="114" w:name="discussion"/>
    <w:p>
      <w:pPr>
        <w:pStyle w:val="Heading2"/>
      </w:pPr>
      <w:r>
        <w:t xml:space="preserve">4.3 Discussion</w:t>
      </w:r>
    </w:p>
    <w:bookmarkEnd w:id="114"/>
    <w:bookmarkStart w:id="124" w:name="methods-2"/>
    <w:p>
      <w:pPr>
        <w:pStyle w:val="Heading2"/>
      </w:pPr>
      <w:r>
        <w:t xml:space="preserve">4.4 Methods</w:t>
      </w:r>
    </w:p>
    <w:bookmarkStart w:id="117" w:name="design"/>
    <w:p>
      <w:pPr>
        <w:pStyle w:val="Heading3"/>
      </w:pPr>
      <w:r>
        <w:t xml:space="preserve">4.4.1 Design</w:t>
      </w:r>
    </w:p>
    <w:bookmarkStart w:id="115" w:name="random-in-silico-modelling"/>
    <w:p>
      <w:pPr>
        <w:pStyle w:val="Heading4"/>
      </w:pPr>
      <w:r>
        <w:t xml:space="preserve">4.4.1.1 Random</w:t>
      </w:r>
      <w:r>
        <w:t xml:space="preserve"> </w:t>
      </w:r>
      <w:r>
        <w:rPr>
          <w:iCs/>
          <w:i/>
        </w:rPr>
        <w:t xml:space="preserve">In-silico</w:t>
      </w:r>
      <w:r>
        <w:t xml:space="preserve"> </w:t>
      </w:r>
      <w:r>
        <w:t xml:space="preserve">modelling</w:t>
      </w:r>
    </w:p>
    <w:p>
      <w:pPr>
        <w:pStyle w:val="FirstParagraph"/>
      </w:pPr>
      <w:r>
        <w:t xml:space="preserve">A</w:t>
      </w:r>
      <w:r>
        <w:t xml:space="preserve"> </w:t>
      </w:r>
      <w:r>
        <w:rPr>
          <w:iCs/>
          <w:i/>
        </w:rPr>
        <w:t xml:space="preserve">in-silico</w:t>
      </w:r>
      <w:r>
        <w:t xml:space="preserve"> </w:t>
      </w:r>
      <w:r>
        <w:t xml:space="preserve">library of</w:t>
      </w:r>
      <w:r>
        <w:t xml:space="preserve"> </w:t>
      </w:r>
      <m:oMath>
        <m:r>
          <m:t>1</m:t>
        </m:r>
        <m:r>
          <m:rPr>
            <m:sty m:val="p"/>
          </m:rPr>
          <m:t>×</m:t>
        </m:r>
        <m:sSup>
          <m:e>
            <m:r>
              <m:t>10</m:t>
            </m:r>
          </m:e>
          <m:sup>
            <m:r>
              <m:t>6</m:t>
            </m:r>
          </m:sup>
        </m:sSup>
      </m:oMath>
      <w:r>
        <w:t xml:space="preserve"> </w:t>
      </w:r>
      <w:r>
        <w:t xml:space="preserve">unique variants with each having one to four mutations was generated using a Python script. A single base was substituted randomly across a WT template sequence to develop the mutants. The resulting mutants were encoded in a one-hot encoded manner, and the trained models were used to predict their phenotypes. The datasets were then sorted based on their predictions and choose the top or bottom mutants for the next analysis. When working with DmpR and its two phenotypes, of signal and background, the dataset was first sorted based on background and then based on the signal.</w:t>
      </w:r>
    </w:p>
    <w:bookmarkEnd w:id="115"/>
    <w:bookmarkStart w:id="116" w:name="generative-ai-based-mutant-generation"/>
    <w:p>
      <w:pPr>
        <w:pStyle w:val="Heading4"/>
      </w:pPr>
      <w:r>
        <w:t xml:space="preserve">4.4.1.2 Generative AI based Mutant Generation</w:t>
      </w:r>
    </w:p>
    <w:bookmarkEnd w:id="116"/>
    <w:bookmarkEnd w:id="117"/>
    <w:bookmarkStart w:id="118" w:name="X8a84523f5590b0ce7eed2c4b0026f119f90fc2f"/>
    <w:p>
      <w:pPr>
        <w:pStyle w:val="Heading3"/>
      </w:pPr>
      <w:r>
        <w:t xml:space="preserve">4.4.2 Build: Mutants Generation with Automated Machines</w:t>
      </w:r>
    </w:p>
    <w:p>
      <w:pPr>
        <w:pStyle w:val="FirstParagraph"/>
      </w:pPr>
      <w:r>
        <w:t xml:space="preserve">The construction of the mutants is performed by K-Biofoundry</w:t>
      </w:r>
      <w:r>
        <w:t xml:space="preserve"> </w:t>
      </w:r>
      <w:r>
        <w:rPr>
          <w:iCs/>
          <w:i/>
        </w:rPr>
        <w:t xml:space="preserve">beta</w:t>
      </w:r>
      <w:r>
        <w:t xml:space="preserve"> </w:t>
      </w:r>
      <w:r>
        <w:t xml:space="preserve">(KRIBB, Daejeon, South Korea). Mutant primers were designed using a custom python script (GitHub repository) and obtained from Macrogen (Korea). PCR with these primers, KOD One polymerase, and the template DNA was executed to form linear mutated DNA. All primers were dispensed using Echo 525 (Beckman Coulter, IN) to a 96-well PCR plate (BIO-RAD), and other components were dispensed using the Janus G3 Liquid handler (Revvity, MA). This was circularized using T4 Ligase and T4 PNK, and was treated with DpnI (NEB) at 37</w:t>
      </w:r>
      <w:r>
        <w:rPr>
          <w:vertAlign w:val="superscript"/>
        </w:rPr>
        <w:t xml:space="preserve">o</w:t>
      </w:r>
      <w:r>
        <w:t xml:space="preserve">C for 1 hour, 24</w:t>
      </w:r>
      <w:r>
        <w:rPr>
          <w:vertAlign w:val="superscript"/>
        </w:rPr>
        <w:t xml:space="preserve">o</w:t>
      </w:r>
      <w:r>
        <w:t xml:space="preserve">C for 2 hours, and deactivated at 65</w:t>
      </w:r>
      <w:r>
        <w:rPr>
          <w:vertAlign w:val="superscript"/>
        </w:rPr>
        <w:t xml:space="preserve">o</w:t>
      </w:r>
      <w:r>
        <w:t xml:space="preserve">C for 10 min. This was then transformed via heat shock and spotted on a Cell-culture plate (SPL Life Sciences, South Korea) using Janus.</w:t>
      </w:r>
    </w:p>
    <w:bookmarkEnd w:id="118"/>
    <w:bookmarkStart w:id="122" w:name="test-1"/>
    <w:p>
      <w:pPr>
        <w:pStyle w:val="Heading3"/>
      </w:pPr>
      <w:r>
        <w:t xml:space="preserve">4.4.3 Test</w:t>
      </w:r>
    </w:p>
    <w:bookmarkStart w:id="119" w:name="genotyping-with-barcoded-pcr"/>
    <w:p>
      <w:pPr>
        <w:pStyle w:val="Heading4"/>
      </w:pPr>
      <w:r>
        <w:t xml:space="preserve">4.4.3.1 Genotyping with Barcoded PCR</w:t>
      </w:r>
    </w:p>
    <w:p>
      <w:pPr>
        <w:pStyle w:val="FirstParagraph"/>
      </w:pPr>
      <w:r>
        <w:t xml:space="preserve">To confirm the mutations, 3 colonies for each mutant were picked and grown overnight in 200</w:t>
      </w:r>
      <w:r>
        <w:t xml:space="preserve"> </w:t>
      </w:r>
      <m:oMath>
        <m:r>
          <m:t>μ</m:t>
        </m:r>
      </m:oMath>
      <w:r>
        <w:t xml:space="preserve">l cultures in 96-well deep well plates. These were genotyped using an in-house automated pipeline to screen through multiple colonies is described here for the first time (</w:t>
      </w:r>
      <w:r>
        <w:rPr>
          <w:bCs/>
          <w:b/>
        </w:rPr>
        <w:t xml:space="preserve">Supplementary Figure **</w:t>
      </w:r>
      <w:r>
        <w:t xml:space="preserve">).</w:t>
      </w:r>
    </w:p>
    <w:p>
      <w:pPr>
        <w:pStyle w:val="BodyText"/>
      </w:pPr>
      <w:r>
        <w:t xml:space="preserve">By using 8 forward and 12 reverse barcoded primers, 96 unique combination of barcoded PCR product could be generated. These primers were generated by a custom script available at</w:t>
      </w:r>
      <w:r>
        <w:t xml:space="preserve"> </w:t>
      </w:r>
      <w:hyperlink r:id="rId41">
        <w:r>
          <w:rPr>
            <w:rStyle w:val="Hyperlink"/>
          </w:rPr>
          <w:t xml:space="preserve">https://mutprimergen.streamlit.app/</w:t>
        </w:r>
      </w:hyperlink>
      <w:r>
        <w:t xml:space="preserve">. These primers that are accurately dispensed using Echo, were used to perform colony PCR on 2</w:t>
      </w:r>
      <w:r>
        <w:t xml:space="preserve"> </w:t>
      </w:r>
      <m:oMath>
        <m:r>
          <m:t>μ</m:t>
        </m:r>
      </m:oMath>
      <w:r>
        <w:t xml:space="preserve">l of aforementioned cultures. All 96-samples were then pooled using Janus and sequenced using GridION as described previously. For genotyping site-directed mutated colonies, sequencing on a flow cell with 500+ pores were run until an estimate of 2k reads per sample were sequenced; for example: 80 samples = 160k reads. This saved cost and effort to screen through hundreds and thousands of colonies for obtaining expected mutants.</w:t>
      </w:r>
    </w:p>
    <w:p>
      <w:pPr>
        <w:pStyle w:val="BodyText"/>
      </w:pPr>
      <w:r>
        <w:t xml:space="preserve">A custom algorithm was developed in Python for demultiplexing barcoded PCR products. Although only DNA of a single length is generated after colony PCR and thereby sequenced, the output contains sequences that are much longer possibly owing to the ligase reactions occurring during the sequencing sample library preparation. Reads are trimmed down to the target sequence along with +20 bases length on either ends. The sequences are then sorted into 96 different FASTA files by identifying the forward and reverse barcodes. The sequences are then concatenated using SAMtools.</w:t>
      </w:r>
    </w:p>
    <w:p>
      <w:pPr>
        <w:pStyle w:val="BodyText"/>
      </w:pPr>
      <w:r>
        <w:t xml:space="preserve">While constructing single mutants, the entire initial and resulting plasmids were verified using the Rapid Barcoding Kit (SQK-RBK114.24) by ONT, ensuring the construct remained constant throughout. 600ng of each sample were sequenced while following the manufacturer’s instructions. The data processing was the same as described in</w:t>
      </w:r>
      <w:r>
        <w:t xml:space="preserve"> </w:t>
      </w:r>
      <w:r>
        <w:rPr>
          <w:bCs/>
          <w:b/>
        </w:rPr>
        <w:t xml:space="preserve">Sequence Data Processing</w:t>
      </w:r>
      <w:r>
        <w:t xml:space="preserve"> </w:t>
      </w:r>
      <w:r>
        <w:t xml:space="preserve">with an additional step of making a consensus file using SAMtools.</w:t>
      </w:r>
    </w:p>
    <w:bookmarkEnd w:id="119"/>
    <w:bookmarkStart w:id="120" w:name="nanopore-analysis-1"/>
    <w:p>
      <w:pPr>
        <w:pStyle w:val="Heading4"/>
      </w:pPr>
      <w:r>
        <w:t xml:space="preserve">4.4.3.2 Nanopore Analysis</w:t>
      </w:r>
    </w:p>
    <w:p>
      <w:pPr>
        <w:pStyle w:val="FirstParagraph"/>
      </w:pPr>
      <w:r>
        <w:t xml:space="preserve">The output of the Nanopore sequencing is the pooled result of the above PCR products, which comprises of different samples with different samples. It is important to demultiplex the samples to differentiate the sequences appropriately. Follow the steps to run</w:t>
      </w:r>
    </w:p>
    <w:bookmarkEnd w:id="120"/>
    <w:bookmarkStart w:id="121" w:name="phenotyping-using-a-plate-reader"/>
    <w:p>
      <w:pPr>
        <w:pStyle w:val="Heading4"/>
      </w:pPr>
      <w:r>
        <w:t xml:space="preserve">4.4.3.3 Phenotyping using a Plate Reader</w:t>
      </w:r>
    </w:p>
    <w:p>
      <w:pPr>
        <w:pStyle w:val="FirstParagraph"/>
      </w:pPr>
      <w:r>
        <w:t xml:space="preserve">The triplicates of individual samples were analyzed using Victor (Perkin Elmer; Waltham, MA, USA) using 96-well plates (Sigma Aldrich; St. Louis, MO, USA). Following the identification of a correctly constructed mutant, 1% of each mutant sample was inoculated in 200ml of LB using Janus and grown at 37</w:t>
      </w:r>
      <w:r>
        <w:rPr>
          <w:vertAlign w:val="superscript"/>
        </w:rPr>
        <w:t xml:space="preserve">o</w:t>
      </w:r>
      <w:r>
        <w:t xml:space="preserve">C for 16hrs in a shaking incubator. Relative Fluorescence was calculated using fluorescence over optical density at 595nm.</w:t>
      </w:r>
    </w:p>
    <w:bookmarkEnd w:id="121"/>
    <w:bookmarkEnd w:id="122"/>
    <w:bookmarkStart w:id="123" w:name="learn-structure-predictions"/>
    <w:p>
      <w:pPr>
        <w:pStyle w:val="Heading3"/>
      </w:pPr>
      <w:r>
        <w:t xml:space="preserve">4.4.4 Learn: Structure Predictions</w:t>
      </w:r>
    </w:p>
    <w:p>
      <w:pPr>
        <w:pStyle w:val="FirstParagraph"/>
      </w:pPr>
      <w:r>
        <w:t xml:space="preserve">A locally installed AlphaFold (v.2.3.2) was run on DmpR</w:t>
      </w:r>
      <w:r>
        <w:rPr>
          <w:vertAlign w:val="subscript"/>
        </w:rPr>
        <w:t xml:space="preserve">WT</w:t>
      </w:r>
      <w:r>
        <w:t xml:space="preserve">, MPH</w:t>
      </w:r>
      <w:r>
        <w:rPr>
          <w:vertAlign w:val="subscript"/>
        </w:rPr>
        <w:t xml:space="preserve">WT</w:t>
      </w:r>
      <w:r>
        <w:t xml:space="preserve"> </w:t>
      </w:r>
      <w:r>
        <w:t xml:space="preserve">and variants was run to obtain structures of the partially/non-identified proteins. Both were constructed as monomers.</w:t>
      </w:r>
    </w:p>
    <w:bookmarkEnd w:id="123"/>
    <w:bookmarkEnd w:id="124"/>
    <w:bookmarkEnd w:id="125"/>
    <w:bookmarkStart w:id="135" w:name="assembling-long-dna-and-further-analysis"/>
    <w:p>
      <w:pPr>
        <w:pStyle w:val="Heading1"/>
      </w:pPr>
      <w:r>
        <w:t xml:space="preserve">5. Assembling Long-DNA and Further Analysis</w:t>
      </w:r>
    </w:p>
    <w:bookmarkStart w:id="127" w:name="introduction-4"/>
    <w:p>
      <w:pPr>
        <w:pStyle w:val="Heading2"/>
      </w:pPr>
      <w:r>
        <w:t xml:space="preserve">5.1 Introduction</w:t>
      </w:r>
    </w:p>
    <w:p>
      <w:pPr>
        <w:pStyle w:val="FirstParagraph"/>
      </w:pPr>
      <w:r>
        <w:t xml:space="preserve">The field of synthetic biology has garnered significant global interest owing to its diverse applications in bio-based production, biosensing, living therapeutics, and drug delivery. This heightened interest has subsequently increased the demand for novel protein synthesis and, ultimately, genome-scale assemblies. However, gene assembly from oligomers presents several challenges, including the risk of incorrect assembly between oligomers, self-annealing, and the potential for insertions or deletions resulting from mis-annealed oligomers. Dsembler (DNA Assembly Designer) is a web-based software application designed to minimize errors during DNA assembly processes. By enhancing the accuracy of oligomer design, Dsembler addresses critical challenges in synthetic biology and supports advancements in genetic engineering and molecular biology applications.</w:t>
      </w:r>
    </w:p>
    <w:p>
      <w:pPr>
        <w:pStyle w:val="BodyText"/>
      </w:pPr>
      <w:r>
        <w:t xml:space="preserve">The primary objective of synthetic biology is to design and construction of biological systems that fulfill specific, pre-determined functions. Progress in this field is heavily reliant on the ability upon the ability to assemble short oligomers, which are essential for creating customizable and functional DNA strands. The declining costs of DNA synthesis, alongside advancements in computational capabilities, have facilitated rapid developments in the construction of increasingly longer DNA sequences. Several DNA assembly techniques, such as polymerase chain assembly (PCA), Gibson Assembly, and Golden Gate Assembly, have been developed and continue to be improved</w:t>
      </w:r>
      <w:r>
        <w:rPr>
          <w:vertAlign w:val="superscript"/>
        </w:rPr>
        <w:t xml:space="preserve">1</w:t>
      </w:r>
      <w:r>
        <w:t xml:space="preserve">. However, as DNA assemblies become longer, the physical constraints of successful assembly also increase progressively. The total number of errors occurring within an assembly could be reduced by optimizing oligomer design and minimizing the number of errors at this earlier step.</w:t>
      </w:r>
    </w:p>
    <w:p>
      <w:pPr>
        <w:pStyle w:val="BodyText"/>
      </w:pPr>
      <w:r>
        <w:t xml:space="preserve">Although there are numerous software offering the design and analysis of short fragments of DNA, such as primers</w:t>
      </w:r>
      <w:r>
        <w:rPr>
          <w:vertAlign w:val="superscript"/>
        </w:rPr>
        <w:t xml:space="preserve">2,3,4</w:t>
      </w:r>
      <w:r>
        <w:t xml:space="preserve">, there has been a deficit in oligomer design tools, specifically to construct DNA assemblies. Currently publicly available software is limited in number and range of functionality, such as GeneDesign, DNAworks, and Gene designer, that mainly focus on melting temperature (Tm) and GC content overlap</w:t>
      </w:r>
      <w:r>
        <w:rPr>
          <w:vertAlign w:val="superscript"/>
        </w:rPr>
        <w:t xml:space="preserve">3, 5, 6</w:t>
      </w:r>
      <w:r>
        <w:t xml:space="preserve">.</w:t>
      </w:r>
    </w:p>
    <w:p>
      <w:pPr>
        <w:pStyle w:val="BodyText"/>
      </w:pPr>
      <w:r>
        <w:t xml:space="preserve">Here, we report a novel software tool, Dsembler (DNA Assembly Designer), which focuses on optimizing oligomer sequences for longer double strand DNA with PCA/Gibson</w:t>
      </w:r>
      <w:r>
        <w:t xml:space="preserve"> </w:t>
      </w:r>
      <w:r>
        <w:rPr>
          <w:iCs/>
          <w:i/>
        </w:rPr>
        <w:t xml:space="preserve">de novo</w:t>
      </w:r>
      <w:r>
        <w:t xml:space="preserve"> </w:t>
      </w:r>
      <w:r>
        <w:t xml:space="preserve">DNA assemblies. Dsembler generates appropriate assembly oligomers for a given sequence under specified conditions. It also provides possible causes of errors for each oligomer and visualization of the overlaps, which allows users to make more informed decisions regarding their experimental design. The software is available at</w:t>
      </w:r>
      <w:r>
        <w:t xml:space="preserve"> </w:t>
      </w:r>
      <w:hyperlink r:id="rId126">
        <w:r>
          <w:rPr>
            <w:rStyle w:val="Hyperlink"/>
          </w:rPr>
          <w:t xml:space="preserve">http://223.130.146.86:8088/</w:t>
        </w:r>
      </w:hyperlink>
      <w:r>
        <w:t xml:space="preserve">.</w:t>
      </w:r>
    </w:p>
    <w:p>
      <w:pPr>
        <w:numPr>
          <w:ilvl w:val="0"/>
          <w:numId w:val="1006"/>
        </w:numPr>
      </w:pPr>
      <w:r>
        <w:t xml:space="preserve">Literature Review of Traditional Synthetic Biology design rules</w:t>
      </w:r>
    </w:p>
    <w:p>
      <w:pPr>
        <w:numPr>
          <w:ilvl w:val="0"/>
          <w:numId w:val="1006"/>
        </w:numPr>
      </w:pPr>
      <w:r>
        <w:t xml:space="preserve">Constructing plasmids and genomes</w:t>
      </w:r>
    </w:p>
    <w:p>
      <w:pPr>
        <w:numPr>
          <w:ilvl w:val="0"/>
          <w:numId w:val="1006"/>
        </w:numPr>
      </w:pPr>
      <w:r>
        <w:t xml:space="preserve">Limited tools/ Not better than manually working though them- Labour intensive</w:t>
      </w:r>
    </w:p>
    <w:p>
      <w:pPr>
        <w:numPr>
          <w:ilvl w:val="0"/>
          <w:numId w:val="1006"/>
        </w:numPr>
      </w:pPr>
      <w:r>
        <w:t xml:space="preserve">Synthesizing Large fragments is challenging</w:t>
      </w:r>
    </w:p>
    <w:bookmarkEnd w:id="127"/>
    <w:bookmarkStart w:id="128" w:name="consideration-for-designing-oligomers"/>
    <w:p>
      <w:pPr>
        <w:pStyle w:val="Heading2"/>
      </w:pPr>
      <w:r>
        <w:t xml:space="preserve">5.2 Consideration for designing oligomers</w:t>
      </w:r>
    </w:p>
    <w:p>
      <w:pPr>
        <w:pStyle w:val="FirstParagraph"/>
      </w:pPr>
      <w:r>
        <w:t xml:space="preserve">Dsembler was developed using R (version 4.1.2) with a lightweight Shiny web user interface and MongoDB database storage, utilizing the mongolite package. Users can navigate through the simple Dsembler web interface on their local network. By receiving inputs for the target DNA sequence, oligomer size, overlap size, and melting temperature range, a set of oligomers can be designed. Users can download XLSX or FASTA files containing their respective oligomers. The pipeline is shown in Fig. 1.</w:t>
      </w:r>
    </w:p>
    <w:p>
      <w:pPr>
        <w:pStyle w:val="BodyText"/>
      </w:pPr>
      <w:r>
        <w:rPr>
          <w:bCs/>
          <w:b/>
        </w:rPr>
        <w:t xml:space="preserve">Designing optimized oligomers</w:t>
      </w:r>
      <w:r>
        <w:br/>
      </w:r>
      <w:r>
        <w:t xml:space="preserve"> </w:t>
      </w:r>
      <w:r>
        <w:t xml:space="preserve">The main considerations of Dsembler while optimizing oligomers includes: 1) Designing oligomers while avoiding possible errors in a DNA assembly. The central idea of the algorithm is to generate an array of candidate oligomers within the given parameters and select the ones that best fit the parameters (Figure 1). Ideally, they should not contain thymine as the last nucleotide of the 3’ end, have an overlap GC content between 40-60%, and a Tm within the range specified by the user. If no oligomers are suitable, the next best fit is provided along with a warning. Tm is calculated based on the Nearest Neighbor Equation supported by the SantaLucia</w:t>
      </w:r>
      <w:r>
        <w:rPr>
          <w:vertAlign w:val="superscript"/>
        </w:rPr>
        <w:t xml:space="preserve">7</w:t>
      </w:r>
      <w:r>
        <w:t xml:space="preserve"> </w:t>
      </w:r>
      <w:r>
        <w:t xml:space="preserve">thermodynamic table</w:t>
      </w:r>
      <w:r>
        <w:rPr>
          <w:vertAlign w:val="superscript"/>
        </w:rPr>
        <w:t xml:space="preserve">8</w:t>
      </w:r>
      <w:r>
        <w:t xml:space="preserve">.</w:t>
      </w:r>
    </w:p>
    <w:p>
      <w:pPr>
        <w:pStyle w:val="BodyText"/>
      </w:pPr>
      <w:r>
        <w:t xml:space="preserve">2) Dsembler prevents the false assembly of oligomers that share complementary base pairs between their overlaps. Consecutive oligomers are grouped and segregated based on the presence of repeated sequences (10bp) between the overlap of oligomers in each group.</w:t>
      </w:r>
    </w:p>
    <w:p>
      <w:pPr>
        <w:pStyle w:val="BodyText"/>
      </w:pPr>
      <w:r>
        <w:t xml:space="preserve">3) A penalty score that assesses the assembly errors is provided in advance. The scores of each oligomer are calculated by a weighted sum of possible causes of error that may occur during assembly. This is presented in the following equation:</w:t>
      </w:r>
    </w:p>
    <w:p>
      <w:pPr>
        <w:pStyle w:val="BodyText"/>
      </w:pPr>
      <w:r>
        <w:t xml:space="preserve">Where</w:t>
      </w:r>
      <w:r>
        <w:t xml:space="preserve"> </w:t>
      </w:r>
      <w:r>
        <w:rPr>
          <w:iCs/>
          <w:i/>
        </w:rPr>
        <w:t xml:space="preserve">T</w:t>
      </w:r>
      <w:r>
        <w:rPr>
          <w:vertAlign w:val="subscript"/>
          <w:iCs/>
          <w:i/>
        </w:rPr>
        <w:t xml:space="preserve">t</w:t>
      </w:r>
      <w:r>
        <w:t xml:space="preserve"> </w:t>
      </w:r>
      <w:r>
        <w:t xml:space="preserve">and</w:t>
      </w:r>
      <w:r>
        <w:t xml:space="preserve"> </w:t>
      </w:r>
      <w:r>
        <w:rPr>
          <w:iCs/>
          <w:i/>
        </w:rPr>
        <w:t xml:space="preserve">T</w:t>
      </w:r>
      <w:r>
        <w:rPr>
          <w:vertAlign w:val="subscript"/>
          <w:iCs/>
          <w:i/>
        </w:rPr>
        <w:t xml:space="preserve">c</w:t>
      </w:r>
      <w:r>
        <w:t xml:space="preserve"> </w:t>
      </w:r>
      <w:r>
        <w:t xml:space="preserve">are the target overlap Tm and the calculated overlap Tm respectively, 1</w:t>
      </w:r>
      <w:r>
        <w:rPr>
          <w:iCs/>
          <w:i/>
          <w:vertAlign w:val="subscript"/>
        </w:rPr>
        <w:t xml:space="preserve">T</w:t>
      </w:r>
      <w:r>
        <w:t xml:space="preserve"> </w:t>
      </w:r>
      <w:r>
        <w:t xml:space="preserve">represents an indicator function, which is one if the base at the 3¢ end of the oligomer is a Thymine; otherwise, it is zero.</w:t>
      </w:r>
      <w:r>
        <w:t xml:space="preserve"> </w:t>
      </w:r>
      <w:r>
        <w:rPr>
          <w:iCs/>
          <w:i/>
        </w:rPr>
        <w:t xml:space="preserve">GC</w:t>
      </w:r>
      <w:r>
        <w:rPr>
          <w:vertAlign w:val="subscript"/>
          <w:iCs/>
          <w:i/>
        </w:rPr>
        <w:t xml:space="preserve">clamp</w:t>
      </w:r>
      <w:r>
        <w:t xml:space="preserve"> </w:t>
      </w:r>
      <w:r>
        <w:t xml:space="preserve">refers to the number of GC clamps in the overlapping region.</w:t>
      </w:r>
      <w:r>
        <w:t xml:space="preserve"> </w:t>
      </w:r>
      <w:r>
        <w:rPr>
          <w:iCs/>
          <w:i/>
        </w:rPr>
        <w:t xml:space="preserve">R</w:t>
      </w:r>
      <w:r>
        <w:rPr>
          <w:vertAlign w:val="subscript"/>
          <w:iCs/>
          <w:i/>
        </w:rPr>
        <w:t xml:space="preserve">within</w:t>
      </w:r>
      <w:r>
        <w:t xml:space="preserve"> </w:t>
      </w:r>
      <w:r>
        <w:t xml:space="preserve">represents the number of repeated base pairs within each oligomer.</w:t>
      </w:r>
      <w:r>
        <w:t xml:space="preserve"> </w:t>
      </w:r>
      <w:r>
        <w:rPr>
          <w:iCs/>
          <w:i/>
        </w:rPr>
        <w:t xml:space="preserve">R</w:t>
      </w:r>
      <w:r>
        <w:rPr>
          <w:vertAlign w:val="subscript"/>
          <w:iCs/>
          <w:i/>
        </w:rPr>
        <w:t xml:space="preserve">between</w:t>
      </w:r>
      <w:r>
        <w:t xml:space="preserve"> </w:t>
      </w:r>
      <w:r>
        <w:t xml:space="preserve">represents the number of repeat base pairs between overlaps in a cluster. A theoretically faultless oligomer that fits all target parameters will have a score of zero.</w:t>
      </w:r>
    </w:p>
    <w:p>
      <w:pPr>
        <w:numPr>
          <w:ilvl w:val="0"/>
          <w:numId w:val="1007"/>
        </w:numPr>
        <w:pStyle w:val="Compact"/>
      </w:pPr>
      <w:r>
        <w:t xml:space="preserve">Lastly, Dsembler provides six distinct error codes accompanied by a corresponding score for each oligomer. This feature enables users to adjust parameters to facilitate a more reliable and error-resistant assembly process</w:t>
      </w:r>
    </w:p>
    <w:p>
      <w:pPr>
        <w:numPr>
          <w:ilvl w:val="0"/>
          <w:numId w:val="1008"/>
        </w:numPr>
      </w:pPr>
      <w:r>
        <w:t xml:space="preserve">Number of overlaps</w:t>
      </w:r>
    </w:p>
    <w:p>
      <w:pPr>
        <w:numPr>
          <w:ilvl w:val="0"/>
          <w:numId w:val="1008"/>
        </w:numPr>
      </w:pPr>
      <w:r>
        <w:t xml:space="preserve">No repeats</w:t>
      </w:r>
    </w:p>
    <w:p>
      <w:pPr>
        <w:numPr>
          <w:ilvl w:val="0"/>
          <w:numId w:val="1008"/>
        </w:numPr>
      </w:pPr>
      <w:r>
        <w:t xml:space="preserve">GC%</w:t>
      </w:r>
    </w:p>
    <w:p>
      <w:pPr>
        <w:numPr>
          <w:ilvl w:val="0"/>
          <w:numId w:val="1008"/>
        </w:numPr>
      </w:pPr>
      <w:r>
        <w:t xml:space="preserve">No A at 3’ end</w:t>
      </w:r>
    </w:p>
    <w:bookmarkEnd w:id="128"/>
    <w:bookmarkStart w:id="129" w:name="psuedocode"/>
    <w:p>
      <w:pPr>
        <w:pStyle w:val="Heading2"/>
      </w:pPr>
      <w:r>
        <w:t xml:space="preserve">5.3 Psuedocode</w:t>
      </w:r>
    </w:p>
    <w:bookmarkEnd w:id="129"/>
    <w:bookmarkStart w:id="131" w:name="user-interface"/>
    <w:p>
      <w:pPr>
        <w:pStyle w:val="Heading2"/>
      </w:pPr>
      <w:r>
        <w:t xml:space="preserve">5.4 User Interface</w:t>
      </w:r>
    </w:p>
    <w:p>
      <w:pPr>
        <w:pStyle w:val="FirstParagraph"/>
      </w:pPr>
      <w:r>
        <w:t xml:space="preserve">Users can register on Dsembler to store, manage, and analyze their queries effectively (Figure 2). The</w:t>
      </w:r>
      <w:r>
        <w:t xml:space="preserve"> </w:t>
      </w:r>
      <w:r>
        <w:t xml:space="preserve">“</w:t>
      </w:r>
      <w:r>
        <w:t xml:space="preserve">Project</w:t>
      </w:r>
      <w:r>
        <w:t xml:space="preserve">”</w:t>
      </w:r>
      <w:r>
        <w:t xml:space="preserve"> </w:t>
      </w:r>
      <w:r>
        <w:t xml:space="preserve">tab enables users to manage queries on a project-specific basis. The</w:t>
      </w:r>
      <w:r>
        <w:t xml:space="preserve"> </w:t>
      </w:r>
      <w:r>
        <w:t xml:space="preserve">“</w:t>
      </w:r>
      <w:r>
        <w:t xml:space="preserve">Sample</w:t>
      </w:r>
      <w:r>
        <w:t xml:space="preserve">”</w:t>
      </w:r>
      <w:r>
        <w:t xml:space="preserve"> </w:t>
      </w:r>
      <w:r>
        <w:t xml:space="preserve">tab allows for the upload of DNA sample files in FASTA format or directly via a dialog box. Within the</w:t>
      </w:r>
      <w:r>
        <w:t xml:space="preserve"> </w:t>
      </w:r>
      <w:r>
        <w:t xml:space="preserve">“</w:t>
      </w:r>
      <w:r>
        <w:t xml:space="preserve">Design</w:t>
      </w:r>
      <w:r>
        <w:t xml:space="preserve">”</w:t>
      </w:r>
      <w:r>
        <w:t xml:space="preserve"> </w:t>
      </w:r>
      <w:r>
        <w:t xml:space="preserve">tab, users can design oligomers by specifying preferred conditions, including melting temperature (Tm), maximum oligomer length, and maximum overlap length for the uploaded samples. The</w:t>
      </w:r>
      <w:r>
        <w:t xml:space="preserve"> </w:t>
      </w:r>
      <w:r>
        <w:t xml:space="preserve">“</w:t>
      </w:r>
      <w:r>
        <w:t xml:space="preserve">Assembly</w:t>
      </w:r>
      <w:r>
        <w:t xml:space="preserve">”</w:t>
      </w:r>
      <w:r>
        <w:t xml:space="preserve"> </w:t>
      </w:r>
      <w:r>
        <w:t xml:space="preserve">tab offers a visualization of the assembled DNA data through tables and graphs, with the option to download results in Excel format. Error information for each oligomer is also provided in this section. Finally, the</w:t>
      </w:r>
      <w:r>
        <w:t xml:space="preserve"> </w:t>
      </w:r>
      <w:r>
        <w:t xml:space="preserve">“</w:t>
      </w:r>
      <w:r>
        <w:t xml:space="preserve">Optimizer</w:t>
      </w:r>
      <w:r>
        <w:t xml:space="preserve">”</w:t>
      </w:r>
      <w:r>
        <w:t xml:space="preserve"> </w:t>
      </w:r>
      <w:r>
        <w:t xml:space="preserve">tab allows users to manually optimize oligomers identified as error prone. The resulting oligomers are presented as 5’ to 3’ sequences in CSV format, facilitating the ordering of synthetic DNA.</w:t>
      </w:r>
    </w:p>
    <w:p>
      <w:pPr>
        <w:numPr>
          <w:ilvl w:val="0"/>
          <w:numId w:val="1009"/>
        </w:numPr>
      </w:pPr>
      <w:r>
        <w:t xml:space="preserve">Python- Flask</w:t>
      </w:r>
    </w:p>
    <w:p>
      <w:pPr>
        <w:numPr>
          <w:ilvl w:val="0"/>
          <w:numId w:val="1009"/>
        </w:numPr>
      </w:pPr>
      <w:r>
        <w:t xml:space="preserve">R- Shiny</w:t>
      </w:r>
    </w:p>
    <w:p>
      <w:pPr>
        <w:numPr>
          <w:ilvl w:val="0"/>
          <w:numId w:val="1010"/>
        </w:numPr>
        <w:pStyle w:val="Compact"/>
      </w:pPr>
      <w:r>
        <w:t xml:space="preserve">Role of Biofoundry</w:t>
      </w:r>
    </w:p>
    <w:bookmarkStart w:id="130" w:name="results-2"/>
    <w:p>
      <w:pPr>
        <w:pStyle w:val="Heading3"/>
      </w:pPr>
      <w:r>
        <w:t xml:space="preserve">5.4.1 Results</w:t>
      </w:r>
    </w:p>
    <w:p>
      <w:pPr>
        <w:pStyle w:val="FirstParagraph"/>
      </w:pPr>
      <w:r>
        <w:t xml:space="preserve">An initial comparative study was conducted to evaluate the performance of manually designed oligomers, GeneDesign</w:t>
      </w:r>
      <w:r>
        <w:rPr>
          <w:vertAlign w:val="superscript"/>
        </w:rPr>
        <w:t xml:space="preserve">3</w:t>
      </w:r>
      <w:r>
        <w:t xml:space="preserve">, and Dsembler. Oligomers corresponding to a predefined 520 bp fragment from the M13 bacteriophage genome were designed using these three approaches and subsequently synthesized and assembled via Polymerase Chain Assembly (PCA). The parameters for the oligomer design were set to an expected size of 50 bp, an overlap size of 20 bp, and a melting temperature (Tm) of 56 °C.</w:t>
      </w:r>
    </w:p>
    <w:p>
      <w:pPr>
        <w:pStyle w:val="BodyText"/>
      </w:pPr>
      <w:r>
        <w:t xml:space="preserve">The effectiveness of the three design methodologies was assessed by analyzing their insertion and deletion rates (errors per kilobase) following sequencing of the assembled DNA derived from the colonies. Additionally, the proportion of randomly sampled colonies exhibiting no errors was evaluated.</w:t>
      </w:r>
    </w:p>
    <w:p>
      <w:pPr>
        <w:pStyle w:val="BodyText"/>
      </w:pPr>
      <w:r>
        <w:t xml:space="preserve">For this sequence assembly, Dsembler was seen to be relatively successful with no insertions recorded and minimal deletions (0.38 ± 0.5 errors/kbp). The error rate for Dsembler oligomers was significantly lower than that observed for GeneDesign (2.02 ± 1.0 errors/kbp) and manually designed oligomers (0.67 ± 0.6 errors/kbp). Furthermore, the proportion of error-free colonies generated from Dsembler oligomers (83%) was comparable to that of manually designed oligomers (71%), and more than double that of GeneDesign oligomers (33%). These findings highlight the enhanced reliability of Dsembler in oligomer design and assembly.</w:t>
      </w:r>
    </w:p>
    <w:p>
      <w:pPr>
        <w:pStyle w:val="BodyText"/>
      </w:pPr>
      <w:r>
        <w:t xml:space="preserve">GeneDesign.</w:t>
      </w:r>
    </w:p>
    <w:p>
      <w:pPr>
        <w:pStyle w:val="BodyText"/>
      </w:pPr>
      <w:r>
        <w:t xml:space="preserve">Lower error rates along with a high proportion of error free colonies imply fewer experimental steps during assembly, particularly for error corrections. This would accelerate long DNA assembly and be useful for high throughput protocols.</w:t>
      </w:r>
    </w:p>
    <w:p>
      <w:pPr>
        <w:pStyle w:val="BodyText"/>
      </w:pPr>
      <w:r>
        <w:t xml:space="preserve">Dsembler was also integrated with the K-biofoundry to scale up the assembly of longer DNA sequences (Methods). The established tool DNAworks was used to compare the efficacy of Dsembler. Both tools were used to design fragments of the AurI gene from Bacteroides thetaiotaomicron.</w:t>
      </w:r>
    </w:p>
    <w:p>
      <w:pPr>
        <w:pStyle w:val="BodyText"/>
      </w:pPr>
      <w:r>
        <w:br/>
      </w:r>
      <w:r>
        <w:t xml:space="preserve">The designed gene fragments were synthesized and subsequently assembled using PCA. The assembled gene fragments were analyzed with a fragment analyzer to assess the success and accuracy of the assembly. Oligomers from both Dsembler and DNAworks were successfully assembled. Although the assemblies by DNAworks had the correct sizes, they also showed the presence of non-target DNA sequences which could be attributed to incorrect assemblies.  The quality and efficiency of the assembly process were found to be comparable between the two tools.</w:t>
      </w:r>
    </w:p>
    <w:p>
      <w:pPr>
        <w:pStyle w:val="BodyText"/>
      </w:pPr>
      <w:r>
        <w:t xml:space="preserve">Oligomer design is a crucial step in increasing the efficiency of long DNA assembly. Our DNA Assembly Designer, Dsembler, utilizes a capable algorithmic design that exhibits the ability to generate optimal oligomers for DNA assemblies. It has an easy-to-navigate user interface with default values to guide users at all steps. More investigation of parameters that influence DNA assembly should be incorporated in the future, such as identifying secondary structures, codon optimization, and insert-backbone-based assembly. We envision that Dsembler will help improve fast-track genome assemblies and contribute to strengthening the development of synthetic biology.</w:t>
      </w:r>
    </w:p>
    <w:bookmarkEnd w:id="130"/>
    <w:bookmarkEnd w:id="131"/>
    <w:bookmarkStart w:id="132" w:name="discussion-1"/>
    <w:p>
      <w:pPr>
        <w:pStyle w:val="Heading2"/>
      </w:pPr>
      <w:r>
        <w:t xml:space="preserve">5.5 Discussion</w:t>
      </w:r>
    </w:p>
    <w:p>
      <w:pPr>
        <w:numPr>
          <w:ilvl w:val="0"/>
          <w:numId w:val="1011"/>
        </w:numPr>
        <w:pStyle w:val="Compact"/>
      </w:pPr>
      <w:r>
        <w:t xml:space="preserve">Integrating with the Biofoundry and sample tracking to mass produce samples</w:t>
      </w:r>
    </w:p>
    <w:p>
      <w:pPr>
        <w:numPr>
          <w:ilvl w:val="0"/>
          <w:numId w:val="1011"/>
        </w:numPr>
        <w:pStyle w:val="Compact"/>
      </w:pPr>
      <w:r>
        <w:t xml:space="preserve">Structure predictions</w:t>
      </w:r>
    </w:p>
    <w:bookmarkEnd w:id="132"/>
    <w:bookmarkStart w:id="134" w:name="experimental-evaluation"/>
    <w:p>
      <w:pPr>
        <w:pStyle w:val="Heading2"/>
      </w:pPr>
      <w:r>
        <w:t xml:space="preserve">5.6 Experimental Evaluation</w:t>
      </w:r>
    </w:p>
    <w:bookmarkStart w:id="133" w:name="materials-and-methods"/>
    <w:p>
      <w:pPr>
        <w:pStyle w:val="Heading3"/>
      </w:pPr>
      <w:r>
        <w:t xml:space="preserve">5.6.1 Materials and Methods</w:t>
      </w:r>
    </w:p>
    <w:p>
      <w:pPr>
        <w:pStyle w:val="FirstParagraph"/>
      </w:pPr>
      <w:r>
        <w:rPr>
          <w:bCs/>
          <w:b/>
        </w:rPr>
        <w:t xml:space="preserve">Materials</w:t>
      </w:r>
    </w:p>
    <w:p>
      <w:pPr>
        <w:pStyle w:val="BodyText"/>
      </w:pPr>
      <w:r>
        <w:t xml:space="preserve">All PCA reactions were performed with Pfu Polymerase (Bioneer, Daejeon, S. Korea) and PCR reactions used KOD polymerase (TOYBO, Osaka, Japan). All enzymatic reactions were performed using the Biometra TRobot II automated PCR cycler (Analytik Jena, Germany).</w:t>
      </w:r>
    </w:p>
    <w:p>
      <w:pPr>
        <w:pStyle w:val="BodyText"/>
      </w:pPr>
      <w:r>
        <w:rPr>
          <w:bCs/>
          <w:b/>
        </w:rPr>
        <w:t xml:space="preserve">Target DNA sequences and Oligomer Design</w:t>
      </w:r>
    </w:p>
    <w:p>
      <w:pPr>
        <w:pStyle w:val="BodyText"/>
      </w:pPr>
      <w:r>
        <w:t xml:space="preserve">The M13 bacteriophage (GenBank Accession No.: NC_003287.2) fragment used to test efficacy was obtained by basic splicing of the M13 bacteriophage genome into 520bp segments. The second fragment, i.e. 521-1041 bp, was used for this study. For all design methods, the target oligomer size was 50bp with an overlap of 20bp and an overlap Tm of 56 °C. While manually designing oligomers, the oligomer that fit the required criteria best was selected. This method is similar to the workflow of Dsembler, however, there were limited candidates to choose from, as designing such sequences was a laborious task. Twenty oligomers were designed by Dsembler, 18 by GeneDesign, and manually for the M13 bacteriophage fragment.</w:t>
      </w:r>
    </w:p>
    <w:p>
      <w:pPr>
        <w:pStyle w:val="BodyText"/>
      </w:pPr>
      <w:r>
        <w:t xml:space="preserve">The AurI gene was obtained from the Bacteroides thetaiotaomicron VPI-5482 strain (Genbank Accession No: AE015928). For DNAWorks, the annealing temperature was set to 62°C and the oligo length to 90nt. For Dsembler, parameters included a maximum oligomer length of 90nt, a maximum overlap length of 40bp, and a Tm for 5’/3’ overlap set at 58°C.</w:t>
      </w:r>
    </w:p>
    <w:p>
      <w:pPr>
        <w:pStyle w:val="BodyText"/>
      </w:pPr>
      <w:r>
        <w:rPr>
          <w:bCs/>
          <w:b/>
        </w:rPr>
        <w:t xml:space="preserve">M13 DNA Assembly</w:t>
      </w:r>
    </w:p>
    <w:p>
      <w:pPr>
        <w:pStyle w:val="BodyText"/>
      </w:pPr>
      <w:r>
        <w:t xml:space="preserve">The protocol used to compare the oligomers designed manually, and using GeneDesign and Dsembler were the same, and the assemblies were performed under the same conditions. Individual oligomers (Macrogen, S. Korea) were synthesized and pooled depending upon the respective design method. Then, a PCA reaction was performed on each of the oligomer pools. To amplify the yield and select the correct assembly, PCR was performed using the first and last oligomers as forward and reverse primers. The appropriate sequence was extracted using gel extraction, and the resulting sequences were cloned into a T-vector (Solgent, Daejeon, S. Korea) coupled with the lac operon (with kanamycin and ampicillin resistance genes) using Gibson Assembly (NEB, Ipswich, Massachusetts, USA).</w:t>
      </w:r>
      <w:r>
        <w:t xml:space="preserve"> </w:t>
      </w:r>
      <w:r>
        <w:rPr>
          <w:iCs/>
          <w:i/>
        </w:rPr>
        <w:t xml:space="preserve">E. coli</w:t>
      </w:r>
      <w:r>
        <w:t xml:space="preserve"> </w:t>
      </w:r>
      <w:r>
        <w:t xml:space="preserve">DH5α cells were transformed with the plasmid vector and incubated on an LB agar plate containing 50 mg/ml, 40mg/ml, 10mg/ml, 5mg/ml of IPTG (Duchefa Biochemie, Haarlem, Netherlands), X-gal (Bioneer, Daejeon, S. Korea), ampicillin, and kanamycin (Sigma-Aldrich, St. Louis, Missouri, USA) respectively, overnight. White colonies, that signified a successful Gibson Assembly, were randomly picked, and underwent a plasmid miniprep (Promega, Madison, Wisconsin, USA). The final DNA was sequenced using Sanger sequencing (Macrogen, S. Korea), and the obtained sequences were checked for errors.</w:t>
      </w:r>
    </w:p>
    <w:p>
      <w:pPr>
        <w:pStyle w:val="BodyText"/>
      </w:pPr>
      <w:r>
        <w:t xml:space="preserve">For each sequence, the insertions and deletions were counted and averaged across each design method to determine the number of errors per 520bp, which was then adjusted to errors/kbp. The number of colonies without any errors in the assembled sequences were also counted.</w:t>
      </w:r>
    </w:p>
    <w:p>
      <w:pPr>
        <w:pStyle w:val="BodyText"/>
      </w:pPr>
      <w:r>
        <w:rPr>
          <w:bCs/>
          <w:b/>
        </w:rPr>
        <w:t xml:space="preserve">AurI DNA Assembly</w:t>
      </w:r>
    </w:p>
    <w:p>
      <w:pPr>
        <w:pStyle w:val="BodyText"/>
      </w:pPr>
      <w:r>
        <w:t xml:space="preserve">All experiments were performed with the hardware available at K-biofoundry. The workflow involved designing with both tools, ordering oligo pools from Bioneer (S. Korea). Oligos were dissolved in TE buffer to a final concentration of 2 pmol/µl in a total volume of 500 µl using Janus G3 Liquid handler (Revvity, MA), which were stored in 384-well plate. The PCA mix was aliquoted into a 96-well PCR plate (BIORAD) and the oligo-pools were transferred using and Echo 525 (Beckman Coulter, IN) according to their respective final concentrations (2.5, 5, 25). The PCA reaction was run for ** at **</w:t>
      </w:r>
      <w:r>
        <w:rPr>
          <w:vertAlign w:val="superscript"/>
        </w:rPr>
        <w:t xml:space="preserve">o</w:t>
      </w:r>
      <w:r>
        <w:t xml:space="preserve">C. Primers that aligned to the end of the DNA assemblies were used to amplify the PCA products. 5ml of each the products were run through the fragment analyzer to observe the size and concentrations of the final assembly.</w:t>
      </w:r>
    </w:p>
    <w:bookmarkEnd w:id="133"/>
    <w:bookmarkEnd w:id="134"/>
    <w:bookmarkEnd w:id="135"/>
    <w:bookmarkStart w:id="139" w:name="conclusion-1"/>
    <w:p>
      <w:pPr>
        <w:pStyle w:val="Heading1"/>
      </w:pPr>
      <w:r>
        <w:t xml:space="preserve">Conclusion</w:t>
      </w:r>
    </w:p>
    <w:p>
      <w:pPr>
        <w:pStyle w:val="FirstParagraph"/>
      </w:pPr>
      <w:r>
        <w:t xml:space="preserve">Case study: Protein Engineering Stack</w:t>
      </w:r>
    </w:p>
    <w:p>
      <w:pPr>
        <w:pStyle w:val="BodyText"/>
      </w:pPr>
      <w:r>
        <w:drawing>
          <wp:inline>
            <wp:extent cx="5334000" cy="4768596"/>
            <wp:effectExtent b="0" l="0" r="0" t="0"/>
            <wp:docPr descr="" title="" id="137" name="Picture"/>
            <a:graphic>
              <a:graphicData uri="http://schemas.openxmlformats.org/drawingml/2006/picture">
                <pic:pic>
                  <pic:nvPicPr>
                    <pic:cNvPr descr="chapters/images/HiAPE.png" id="138" name="Picture"/>
                    <pic:cNvPicPr>
                      <a:picLocks noChangeArrowheads="1" noChangeAspect="1"/>
                    </pic:cNvPicPr>
                  </pic:nvPicPr>
                  <pic:blipFill>
                    <a:blip r:embed="rId136"/>
                    <a:stretch>
                      <a:fillRect/>
                    </a:stretch>
                  </pic:blipFill>
                  <pic:spPr bwMode="auto">
                    <a:xfrm>
                      <a:off x="0" y="0"/>
                      <a:ext cx="5334000" cy="4768596"/>
                    </a:xfrm>
                    <a:prstGeom prst="rect">
                      <a:avLst/>
                    </a:prstGeom>
                    <a:noFill/>
                    <a:ln w="9525">
                      <a:noFill/>
                      <a:headEnd/>
                      <a:tailEnd/>
                    </a:ln>
                  </pic:spPr>
                </pic:pic>
              </a:graphicData>
            </a:graphic>
          </wp:inline>
        </w:drawing>
      </w:r>
      <w:r>
        <w:t xml:space="preserve">This thesis focuses on the development of workflows and software tools with a focus on protein engineering.</w:t>
      </w:r>
    </w:p>
    <w:bookmarkEnd w:id="139"/>
    <w:bookmarkStart w:id="192" w:name="references"/>
    <w:p>
      <w:pPr>
        <w:pStyle w:val="Heading1"/>
      </w:pPr>
      <w:r>
        <w:t xml:space="preserve">References</w:t>
      </w:r>
    </w:p>
    <w:bookmarkStart w:id="191" w:name="refs"/>
    <w:bookmarkStart w:id="140" w:name="ref-myers2017standard"/>
    <w:p>
      <w:pPr>
        <w:pStyle w:val="Bibliography"/>
      </w:pPr>
      <w:r>
        <w:t xml:space="preserve">(1)</w:t>
      </w:r>
      <w:r>
        <w:t xml:space="preserve"> </w:t>
      </w:r>
      <w:r>
        <w:t xml:space="preserve">	</w:t>
      </w:r>
      <w:r>
        <w:t xml:space="preserve">Myers, C. J.; Beal, J.; Gorochowski, T. E.; Kuwahara, H.; Madsen, C.; McLaughlin, J. A.; Mısırlı, G.; Nguyen, T.; Oberortner, E.; Samineni, M.; others. A Standard-Enabled Workflow for Synthetic Biology.</w:t>
      </w:r>
      <w:r>
        <w:t xml:space="preserve"> </w:t>
      </w:r>
      <w:r>
        <w:rPr>
          <w:iCs/>
          <w:i/>
        </w:rPr>
        <w:t xml:space="preserve">Biochemical Society Transactions</w:t>
      </w:r>
      <w:r>
        <w:t xml:space="preserve"> </w:t>
      </w:r>
      <w:r>
        <w:rPr>
          <w:bCs/>
          <w:b/>
        </w:rPr>
        <w:t xml:space="preserve">2017</w:t>
      </w:r>
      <w:r>
        <w:t xml:space="preserve">,</w:t>
      </w:r>
      <w:r>
        <w:t xml:space="preserve"> </w:t>
      </w:r>
      <w:r>
        <w:rPr>
          <w:iCs/>
          <w:i/>
        </w:rPr>
        <w:t xml:space="preserve">45</w:t>
      </w:r>
      <w:r>
        <w:t xml:space="preserve"> </w:t>
      </w:r>
      <w:r>
        <w:t xml:space="preserve">(3), 793–803.</w:t>
      </w:r>
    </w:p>
    <w:bookmarkEnd w:id="140"/>
    <w:bookmarkStart w:id="141" w:name="ref-torres2022automated"/>
    <w:p>
      <w:pPr>
        <w:pStyle w:val="Bibliography"/>
      </w:pPr>
      <w:r>
        <w:t xml:space="preserve">(2)</w:t>
      </w:r>
      <w:r>
        <w:t xml:space="preserve"> </w:t>
      </w:r>
      <w:r>
        <w:t xml:space="preserve">	</w:t>
      </w:r>
      <w:r>
        <w:t xml:space="preserve">Torres-Acosta, M. A.; Lye, G. J.; Dikicioglu, D. Automated Liquid-Handling Operations for Robust, Resilient, and Efficient Bio-Based Laboratory Practices.</w:t>
      </w:r>
      <w:r>
        <w:t xml:space="preserve"> </w:t>
      </w:r>
      <w:r>
        <w:rPr>
          <w:iCs/>
          <w:i/>
        </w:rPr>
        <w:t xml:space="preserve">Biochemical Engineering Journal</w:t>
      </w:r>
      <w:r>
        <w:t xml:space="preserve"> </w:t>
      </w:r>
      <w:r>
        <w:rPr>
          <w:bCs/>
          <w:b/>
        </w:rPr>
        <w:t xml:space="preserve">2022</w:t>
      </w:r>
      <w:r>
        <w:t xml:space="preserve">,</w:t>
      </w:r>
      <w:r>
        <w:t xml:space="preserve"> </w:t>
      </w:r>
      <w:r>
        <w:rPr>
          <w:iCs/>
          <w:i/>
        </w:rPr>
        <w:t xml:space="preserve">188</w:t>
      </w:r>
      <w:r>
        <w:t xml:space="preserve">, 108713.</w:t>
      </w:r>
    </w:p>
    <w:bookmarkEnd w:id="141"/>
    <w:bookmarkStart w:id="142" w:name="ref-henkel2007economics"/>
    <w:p>
      <w:pPr>
        <w:pStyle w:val="Bibliography"/>
      </w:pPr>
      <w:r>
        <w:t xml:space="preserve">(3)</w:t>
      </w:r>
      <w:r>
        <w:t xml:space="preserve"> </w:t>
      </w:r>
      <w:r>
        <w:t xml:space="preserve">	</w:t>
      </w:r>
      <w:r>
        <w:t xml:space="preserve">Henkel, J.; Maurer, S. M. The Economics of Synthetic Biology.</w:t>
      </w:r>
      <w:r>
        <w:t xml:space="preserve"> </w:t>
      </w:r>
      <w:r>
        <w:rPr>
          <w:iCs/>
          <w:i/>
        </w:rPr>
        <w:t xml:space="preserve">Molecular Systems Biology</w:t>
      </w:r>
      <w:r>
        <w:t xml:space="preserve"> </w:t>
      </w:r>
      <w:r>
        <w:rPr>
          <w:bCs/>
          <w:b/>
        </w:rPr>
        <w:t xml:space="preserve">2007</w:t>
      </w:r>
      <w:r>
        <w:t xml:space="preserve">,</w:t>
      </w:r>
      <w:r>
        <w:t xml:space="preserve"> </w:t>
      </w:r>
      <w:r>
        <w:rPr>
          <w:iCs/>
          <w:i/>
        </w:rPr>
        <w:t xml:space="preserve">3</w:t>
      </w:r>
      <w:r>
        <w:t xml:space="preserve"> </w:t>
      </w:r>
      <w:r>
        <w:t xml:space="preserve">(1), 117.</w:t>
      </w:r>
    </w:p>
    <w:bookmarkEnd w:id="142"/>
    <w:bookmarkStart w:id="143" w:name="ref-appleton2017design"/>
    <w:p>
      <w:pPr>
        <w:pStyle w:val="Bibliography"/>
      </w:pPr>
      <w:r>
        <w:t xml:space="preserve">(4)</w:t>
      </w:r>
      <w:r>
        <w:t xml:space="preserve"> </w:t>
      </w:r>
      <w:r>
        <w:t xml:space="preserve">	</w:t>
      </w:r>
      <w:r>
        <w:t xml:space="preserve">Appleton, E.; Madsen, C.; Roehner, N.; Densmore, D. Design Automation in Synthetic Biology.</w:t>
      </w:r>
      <w:r>
        <w:t xml:space="preserve"> </w:t>
      </w:r>
      <w:r>
        <w:rPr>
          <w:iCs/>
          <w:i/>
        </w:rPr>
        <w:t xml:space="preserve">Cold Spring Harbor perspectives in biology</w:t>
      </w:r>
      <w:r>
        <w:t xml:space="preserve"> </w:t>
      </w:r>
      <w:r>
        <w:rPr>
          <w:bCs/>
          <w:b/>
        </w:rPr>
        <w:t xml:space="preserve">2017</w:t>
      </w:r>
      <w:r>
        <w:t xml:space="preserve">,</w:t>
      </w:r>
      <w:r>
        <w:t xml:space="preserve"> </w:t>
      </w:r>
      <w:r>
        <w:rPr>
          <w:iCs/>
          <w:i/>
        </w:rPr>
        <w:t xml:space="preserve">9</w:t>
      </w:r>
      <w:r>
        <w:t xml:space="preserve"> </w:t>
      </w:r>
      <w:r>
        <w:t xml:space="preserve">(4), a023978.</w:t>
      </w:r>
    </w:p>
    <w:bookmarkEnd w:id="143"/>
    <w:bookmarkStart w:id="144" w:name="ref-appleton2017needs"/>
    <w:p>
      <w:pPr>
        <w:pStyle w:val="Bibliography"/>
      </w:pPr>
      <w:r>
        <w:t xml:space="preserve">(5)</w:t>
      </w:r>
      <w:r>
        <w:t xml:space="preserve"> </w:t>
      </w:r>
      <w:r>
        <w:t xml:space="preserve">	</w:t>
      </w:r>
      <w:r>
        <w:t xml:space="preserve">Appleton, E.; Densmore, D.; Madsen, C.; Roehner, N. Needs and Opportunities in Bio-Design Automation: Four Areas for Focus.</w:t>
      </w:r>
      <w:r>
        <w:t xml:space="preserve"> </w:t>
      </w:r>
      <w:r>
        <w:rPr>
          <w:iCs/>
          <w:i/>
        </w:rPr>
        <w:t xml:space="preserve">Current Opinion in Chemical Biology</w:t>
      </w:r>
      <w:r>
        <w:t xml:space="preserve"> </w:t>
      </w:r>
      <w:r>
        <w:rPr>
          <w:bCs/>
          <w:b/>
        </w:rPr>
        <w:t xml:space="preserve">2017</w:t>
      </w:r>
      <w:r>
        <w:t xml:space="preserve">,</w:t>
      </w:r>
      <w:r>
        <w:t xml:space="preserve"> </w:t>
      </w:r>
      <w:r>
        <w:rPr>
          <w:iCs/>
          <w:i/>
        </w:rPr>
        <w:t xml:space="preserve">40</w:t>
      </w:r>
      <w:r>
        <w:t xml:space="preserve">, 111–118.</w:t>
      </w:r>
    </w:p>
    <w:bookmarkEnd w:id="144"/>
    <w:bookmarkStart w:id="145" w:name="ref-yeoh2021synbiopython"/>
    <w:p>
      <w:pPr>
        <w:pStyle w:val="Bibliography"/>
      </w:pPr>
      <w:r>
        <w:t xml:space="preserve">(6)</w:t>
      </w:r>
      <w:r>
        <w:t xml:space="preserve"> </w:t>
      </w:r>
      <w:r>
        <w:t xml:space="preserve">	</w:t>
      </w:r>
      <w:r>
        <w:t xml:space="preserve">Yeoh, J. W.; Swainston, N.; Vegh, P.; Zulkower, V.; Carbonell, P.; Holowko, M. B.; Peddinti, G.; Poh, C. L. SynBiopython: An Open-Source Software Library for Synthetic Biology, 2021.</w:t>
      </w:r>
    </w:p>
    <w:bookmarkEnd w:id="145"/>
    <w:bookmarkStart w:id="146" w:name="ref-rand2024bionumpy"/>
    <w:p>
      <w:pPr>
        <w:pStyle w:val="Bibliography"/>
      </w:pPr>
      <w:r>
        <w:t xml:space="preserve">(7)</w:t>
      </w:r>
      <w:r>
        <w:t xml:space="preserve"> </w:t>
      </w:r>
      <w:r>
        <w:t xml:space="preserve">	</w:t>
      </w:r>
      <w:r>
        <w:t xml:space="preserve">Rand, K. D.; Grytten, I.; Pavlović, M.; Kanduri, C.; Sandve, G. K. BioNumPy: Array Programming for Biology.</w:t>
      </w:r>
      <w:r>
        <w:t xml:space="preserve"> </w:t>
      </w:r>
      <w:r>
        <w:rPr>
          <w:iCs/>
          <w:i/>
        </w:rPr>
        <w:t xml:space="preserve">Nature Methods</w:t>
      </w:r>
      <w:r>
        <w:t xml:space="preserve"> </w:t>
      </w:r>
      <w:r>
        <w:rPr>
          <w:bCs/>
          <w:b/>
        </w:rPr>
        <w:t xml:space="preserve">2024</w:t>
      </w:r>
      <w:r>
        <w:t xml:space="preserve">, 1–2.</w:t>
      </w:r>
    </w:p>
    <w:bookmarkEnd w:id="146"/>
    <w:bookmarkStart w:id="147" w:name="ref-kwon2023advancing"/>
    <w:p>
      <w:pPr>
        <w:pStyle w:val="Bibliography"/>
      </w:pPr>
      <w:r>
        <w:t xml:space="preserve">(8)</w:t>
      </w:r>
      <w:r>
        <w:t xml:space="preserve"> </w:t>
      </w:r>
      <w:r>
        <w:t xml:space="preserve">	</w:t>
      </w:r>
      <w:r>
        <w:t xml:space="preserve">Kwon, K. K.; Lee, J.; Kim, H.; Lee, D.-H.; Lee, S.-G. Advancing High-Throughput Screening Systems for Synthetic Biology and Biofoundry.</w:t>
      </w:r>
      <w:r>
        <w:t xml:space="preserve"> </w:t>
      </w:r>
      <w:r>
        <w:rPr>
          <w:iCs/>
          <w:i/>
        </w:rPr>
        <w:t xml:space="preserve">Current Opinion in Systems Biology</w:t>
      </w:r>
      <w:r>
        <w:t xml:space="preserve"> </w:t>
      </w:r>
      <w:r>
        <w:rPr>
          <w:bCs/>
          <w:b/>
        </w:rPr>
        <w:t xml:space="preserve">2023</w:t>
      </w:r>
      <w:r>
        <w:t xml:space="preserve">, 100487.</w:t>
      </w:r>
    </w:p>
    <w:bookmarkEnd w:id="147"/>
    <w:bookmarkStart w:id="148" w:name="ref-wenzel2023open"/>
    <w:p>
      <w:pPr>
        <w:pStyle w:val="Bibliography"/>
      </w:pPr>
      <w:r>
        <w:t xml:space="preserve">(9)</w:t>
      </w:r>
      <w:r>
        <w:t xml:space="preserve"> </w:t>
      </w:r>
      <w:r>
        <w:t xml:space="preserve">	</w:t>
      </w:r>
      <w:r>
        <w:t xml:space="preserve">Wenzel, T. Open Hardware: From DIY Trend to Global Transformation in Access to Laboratory Equipment.</w:t>
      </w:r>
      <w:r>
        <w:t xml:space="preserve"> </w:t>
      </w:r>
      <w:r>
        <w:rPr>
          <w:iCs/>
          <w:i/>
        </w:rPr>
        <w:t xml:space="preserve">PLoS Biology</w:t>
      </w:r>
      <w:r>
        <w:t xml:space="preserve"> </w:t>
      </w:r>
      <w:r>
        <w:rPr>
          <w:bCs/>
          <w:b/>
        </w:rPr>
        <w:t xml:space="preserve">2023</w:t>
      </w:r>
      <w:r>
        <w:t xml:space="preserve">,</w:t>
      </w:r>
      <w:r>
        <w:t xml:space="preserve"> </w:t>
      </w:r>
      <w:r>
        <w:rPr>
          <w:iCs/>
          <w:i/>
        </w:rPr>
        <w:t xml:space="preserve">21</w:t>
      </w:r>
      <w:r>
        <w:t xml:space="preserve"> </w:t>
      </w:r>
      <w:r>
        <w:t xml:space="preserve">(1), e3001931.</w:t>
      </w:r>
    </w:p>
    <w:bookmarkEnd w:id="148"/>
    <w:bookmarkStart w:id="149" w:name="ref-sogi2023research"/>
    <w:p>
      <w:pPr>
        <w:pStyle w:val="Bibliography"/>
      </w:pPr>
      <w:r>
        <w:t xml:space="preserve">(10)</w:t>
      </w:r>
      <w:r>
        <w:t xml:space="preserve"> </w:t>
      </w:r>
      <w:r>
        <w:t xml:space="preserve">	</w:t>
      </w:r>
      <w:r>
        <w:t xml:space="preserve">Sogi, G. Research Waste.</w:t>
      </w:r>
      <w:r>
        <w:t xml:space="preserve"> </w:t>
      </w:r>
      <w:r>
        <w:rPr>
          <w:iCs/>
          <w:i/>
        </w:rPr>
        <w:t xml:space="preserve">Contemporary Clinical Dentistry</w:t>
      </w:r>
      <w:r>
        <w:t xml:space="preserve">, 2023,</w:t>
      </w:r>
      <w:r>
        <w:t xml:space="preserve"> </w:t>
      </w:r>
      <w:r>
        <w:rPr>
          <w:iCs/>
          <w:i/>
        </w:rPr>
        <w:t xml:space="preserve">14</w:t>
      </w:r>
      <w:r>
        <w:t xml:space="preserve">, 179.</w:t>
      </w:r>
    </w:p>
    <w:bookmarkEnd w:id="149"/>
    <w:bookmarkStart w:id="151" w:name="ref-kwok2018"/>
    <w:p>
      <w:pPr>
        <w:pStyle w:val="Bibliography"/>
      </w:pPr>
      <w:r>
        <w:t xml:space="preserve">(11)</w:t>
      </w:r>
      <w:r>
        <w:t xml:space="preserve"> </w:t>
      </w:r>
      <w:r>
        <w:t xml:space="preserve">	</w:t>
      </w:r>
      <w:r>
        <w:t xml:space="preserve">Kwok, R. How to Pick an Electronic Laboratory Notebook.</w:t>
      </w:r>
      <w:r>
        <w:t xml:space="preserve"> </w:t>
      </w:r>
      <w:r>
        <w:rPr>
          <w:iCs/>
          <w:i/>
        </w:rPr>
        <w:t xml:space="preserve">Nature</w:t>
      </w:r>
      <w:r>
        <w:t xml:space="preserve"> </w:t>
      </w:r>
      <w:r>
        <w:rPr>
          <w:bCs/>
          <w:b/>
        </w:rPr>
        <w:t xml:space="preserve">2018</w:t>
      </w:r>
      <w:r>
        <w:t xml:space="preserve">,</w:t>
      </w:r>
      <w:r>
        <w:t xml:space="preserve"> </w:t>
      </w:r>
      <w:r>
        <w:rPr>
          <w:iCs/>
          <w:i/>
        </w:rPr>
        <w:t xml:space="preserve">560</w:t>
      </w:r>
      <w:r>
        <w:t xml:space="preserve"> </w:t>
      </w:r>
      <w:r>
        <w:t xml:space="preserve">(7717), 269–270.</w:t>
      </w:r>
      <w:r>
        <w:t xml:space="preserve"> </w:t>
      </w:r>
      <w:hyperlink r:id="rId150">
        <w:r>
          <w:rPr>
            <w:rStyle w:val="Hyperlink"/>
          </w:rPr>
          <w:t xml:space="preserve">https://doi.org/10.1038/d41586-018-05895-3</w:t>
        </w:r>
      </w:hyperlink>
      <w:r>
        <w:t xml:space="preserve">.</w:t>
      </w:r>
    </w:p>
    <w:bookmarkEnd w:id="151"/>
    <w:bookmarkStart w:id="152" w:name="ref-eblen2015comparing"/>
    <w:p>
      <w:pPr>
        <w:pStyle w:val="Bibliography"/>
      </w:pPr>
      <w:r>
        <w:t xml:space="preserve">(12)</w:t>
      </w:r>
      <w:r>
        <w:t xml:space="preserve"> </w:t>
      </w:r>
      <w:r>
        <w:t xml:space="preserve">	</w:t>
      </w:r>
      <w:r>
        <w:t xml:space="preserve">Eblen-Zayas, M. Comparing Electronic and Traditional Lab Notebooks in the Advanced Lab. In</w:t>
      </w:r>
      <w:r>
        <w:t xml:space="preserve"> </w:t>
      </w:r>
      <w:r>
        <w:rPr>
          <w:iCs/>
          <w:i/>
        </w:rPr>
        <w:t xml:space="preserve">Conference on laboratory instruction: Beyond the first year of college, college park, MD. Retrieved from https://www. Compadre. Org/repository/document/ServeFile. cfm</w:t>
      </w:r>
      <w:r>
        <w:t xml:space="preserve">; 2015.</w:t>
      </w:r>
    </w:p>
    <w:bookmarkEnd w:id="152"/>
    <w:bookmarkStart w:id="154" w:name="ref-Schmerker_2020"/>
    <w:p>
      <w:pPr>
        <w:pStyle w:val="Bibliography"/>
      </w:pPr>
      <w:r>
        <w:t xml:space="preserve">(13)</w:t>
      </w:r>
      <w:r>
        <w:t xml:space="preserve"> </w:t>
      </w:r>
      <w:r>
        <w:t xml:space="preserve">	</w:t>
      </w:r>
      <w:r>
        <w:t xml:space="preserve">Schmerker, J. Switch to an Electronic Lab Notebook? Pros and Cons, 2020.</w:t>
      </w:r>
      <w:r>
        <w:t xml:space="preserve"> </w:t>
      </w:r>
      <w:hyperlink r:id="rId153">
        <w:r>
          <w:rPr>
            <w:rStyle w:val="Hyperlink"/>
          </w:rPr>
          <w:t xml:space="preserve">https://www.idtdna.com/pages/community/blog/post/thinking-about-making-the-switch-to-an-electronic-lab-notebook-here-are-some-pros-and-cons</w:t>
        </w:r>
      </w:hyperlink>
      <w:r>
        <w:t xml:space="preserve">.</w:t>
      </w:r>
    </w:p>
    <w:bookmarkEnd w:id="154"/>
    <w:bookmarkStart w:id="156" w:name="ref-eyersgithub"/>
    <w:p>
      <w:pPr>
        <w:pStyle w:val="Bibliography"/>
      </w:pPr>
      <w:r>
        <w:t xml:space="preserve">(14)</w:t>
      </w:r>
      <w:r>
        <w:t xml:space="preserve"> </w:t>
      </w:r>
      <w:r>
        <w:t xml:space="preserve">	</w:t>
      </w:r>
      <w:r>
        <w:t xml:space="preserve">Eyers, D.; Stevens, S.; Turner, A.; Cohen, J. Switch to an Electronic Lab Notebook? Pros and Cons, 2020.</w:t>
      </w:r>
      <w:r>
        <w:t xml:space="preserve"> </w:t>
      </w:r>
      <w:hyperlink r:id="rId155">
        <w:r>
          <w:rPr>
            <w:rStyle w:val="Hyperlink"/>
          </w:rPr>
          <w:t xml:space="preserve">https://github.com/ImperialCollegeLondon/2020-07-13-Containers-Online/tree/gh-pages?tab=readme-ov-file</w:t>
        </w:r>
      </w:hyperlink>
      <w:r>
        <w:t xml:space="preserve">.</w:t>
      </w:r>
    </w:p>
    <w:bookmarkEnd w:id="156"/>
    <w:bookmarkStart w:id="158" w:name="ref-leahy2022"/>
    <w:p>
      <w:pPr>
        <w:pStyle w:val="Bibliography"/>
      </w:pPr>
      <w:r>
        <w:t xml:space="preserve">(15)</w:t>
      </w:r>
      <w:r>
        <w:t xml:space="preserve"> </w:t>
      </w:r>
      <w:r>
        <w:t xml:space="preserve">	</w:t>
      </w:r>
      <w:r>
        <w:t xml:space="preserve">Leahy, D.; Thorpe, C. Zero Trust Container Architecture (ZTCA).</w:t>
      </w:r>
      <w:r>
        <w:t xml:space="preserve"> </w:t>
      </w:r>
      <w:r>
        <w:rPr>
          <w:iCs/>
          <w:i/>
        </w:rPr>
        <w:t xml:space="preserve">International Conference on Cyber Warfare and Security</w:t>
      </w:r>
      <w:r>
        <w:t xml:space="preserve"> </w:t>
      </w:r>
      <w:r>
        <w:rPr>
          <w:bCs/>
          <w:b/>
        </w:rPr>
        <w:t xml:space="preserve">2022</w:t>
      </w:r>
      <w:r>
        <w:t xml:space="preserve">,</w:t>
      </w:r>
      <w:r>
        <w:t xml:space="preserve"> </w:t>
      </w:r>
      <w:r>
        <w:rPr>
          <w:iCs/>
          <w:i/>
        </w:rPr>
        <w:t xml:space="preserve">17</w:t>
      </w:r>
      <w:r>
        <w:t xml:space="preserve"> </w:t>
      </w:r>
      <w:r>
        <w:t xml:space="preserve">(1), 111–120.</w:t>
      </w:r>
      <w:r>
        <w:t xml:space="preserve"> </w:t>
      </w:r>
      <w:hyperlink r:id="rId157">
        <w:r>
          <w:rPr>
            <w:rStyle w:val="Hyperlink"/>
          </w:rPr>
          <w:t xml:space="preserve">https://doi.org/10.34190/iccws.17.1.35</w:t>
        </w:r>
      </w:hyperlink>
      <w:r>
        <w:t xml:space="preserve">.</w:t>
      </w:r>
    </w:p>
    <w:bookmarkEnd w:id="158"/>
    <w:bookmarkStart w:id="159" w:name="ref-mirdita2022colabfold"/>
    <w:p>
      <w:pPr>
        <w:pStyle w:val="Bibliography"/>
      </w:pPr>
      <w:r>
        <w:t xml:space="preserve">(16)</w:t>
      </w:r>
      <w:r>
        <w:t xml:space="preserve"> </w:t>
      </w:r>
      <w:r>
        <w:t xml:space="preserve">	</w:t>
      </w:r>
      <w:r>
        <w:t xml:space="preserve">Mirdita, M.; Schütze, K.; Moriwaki, Y.; Heo, L.; Ovchinnikov, S.; Steinegger, M. ColabFold: Making Protein Folding Accessible to All.</w:t>
      </w:r>
      <w:r>
        <w:t xml:space="preserve"> </w:t>
      </w:r>
      <w:r>
        <w:rPr>
          <w:iCs/>
          <w:i/>
        </w:rPr>
        <w:t xml:space="preserve">Nature methods</w:t>
      </w:r>
      <w:r>
        <w:t xml:space="preserve"> </w:t>
      </w:r>
      <w:r>
        <w:rPr>
          <w:bCs/>
          <w:b/>
        </w:rPr>
        <w:t xml:space="preserve">2022</w:t>
      </w:r>
      <w:r>
        <w:t xml:space="preserve">,</w:t>
      </w:r>
      <w:r>
        <w:t xml:space="preserve"> </w:t>
      </w:r>
      <w:r>
        <w:rPr>
          <w:iCs/>
          <w:i/>
        </w:rPr>
        <w:t xml:space="preserve">19</w:t>
      </w:r>
      <w:r>
        <w:t xml:space="preserve"> </w:t>
      </w:r>
      <w:r>
        <w:t xml:space="preserve">(6), 679–682.</w:t>
      </w:r>
    </w:p>
    <w:bookmarkEnd w:id="159"/>
    <w:bookmarkStart w:id="160" w:name="ref-jumper2021highly"/>
    <w:p>
      <w:pPr>
        <w:pStyle w:val="Bibliography"/>
      </w:pPr>
      <w:r>
        <w:t xml:space="preserve">(17)</w:t>
      </w:r>
      <w:r>
        <w:t xml:space="preserve"> </w:t>
      </w:r>
      <w:r>
        <w:t xml:space="preserve">	</w:t>
      </w:r>
      <w:r>
        <w:t xml:space="preserve">Jumper, J.; Evans, R.; Pritzel, A.; Green, T.; Figurnov, M.; Ronneberger, O.; Tunyasuvunakool, K.; Bates, R.; Žı́dek, A.; Potapenko, A.; others. Highly Accurate Protein Structure Prediction with AlphaFold.</w:t>
      </w:r>
      <w:r>
        <w:t xml:space="preserve"> </w:t>
      </w:r>
      <w:r>
        <w:rPr>
          <w:iCs/>
          <w:i/>
        </w:rPr>
        <w:t xml:space="preserve">nature</w:t>
      </w:r>
      <w:r>
        <w:t xml:space="preserve"> </w:t>
      </w:r>
      <w:r>
        <w:rPr>
          <w:bCs/>
          <w:b/>
        </w:rPr>
        <w:t xml:space="preserve">2021</w:t>
      </w:r>
      <w:r>
        <w:t xml:space="preserve">,</w:t>
      </w:r>
      <w:r>
        <w:t xml:space="preserve"> </w:t>
      </w:r>
      <w:r>
        <w:rPr>
          <w:iCs/>
          <w:i/>
        </w:rPr>
        <w:t xml:space="preserve">596</w:t>
      </w:r>
      <w:r>
        <w:t xml:space="preserve"> </w:t>
      </w:r>
      <w:r>
        <w:t xml:space="preserve">(7873), 583–589.</w:t>
      </w:r>
    </w:p>
    <w:bookmarkEnd w:id="160"/>
    <w:bookmarkStart w:id="161" w:name="ref-wong2012visualizing"/>
    <w:p>
      <w:pPr>
        <w:pStyle w:val="Bibliography"/>
      </w:pPr>
      <w:r>
        <w:t xml:space="preserve">(18)</w:t>
      </w:r>
      <w:r>
        <w:t xml:space="preserve"> </w:t>
      </w:r>
      <w:r>
        <w:t xml:space="preserve">	</w:t>
      </w:r>
      <w:r>
        <w:t xml:space="preserve">Wong, B. Visualizing Biological Data.</w:t>
      </w:r>
      <w:r>
        <w:t xml:space="preserve"> </w:t>
      </w:r>
      <w:r>
        <w:rPr>
          <w:iCs/>
          <w:i/>
        </w:rPr>
        <w:t xml:space="preserve">Nat Methods</w:t>
      </w:r>
      <w:r>
        <w:t xml:space="preserve"> </w:t>
      </w:r>
      <w:r>
        <w:rPr>
          <w:bCs/>
          <w:b/>
        </w:rPr>
        <w:t xml:space="preserve">2012</w:t>
      </w:r>
      <w:r>
        <w:t xml:space="preserve">,</w:t>
      </w:r>
      <w:r>
        <w:t xml:space="preserve"> </w:t>
      </w:r>
      <w:r>
        <w:rPr>
          <w:iCs/>
          <w:i/>
        </w:rPr>
        <w:t xml:space="preserve">9</w:t>
      </w:r>
      <w:r>
        <w:t xml:space="preserve"> </w:t>
      </w:r>
      <w:r>
        <w:t xml:space="preserve">(12), 1131–1131.</w:t>
      </w:r>
    </w:p>
    <w:bookmarkEnd w:id="161"/>
    <w:bookmarkStart w:id="162" w:name="ref-verschaffelt2022unipept"/>
    <w:p>
      <w:pPr>
        <w:pStyle w:val="Bibliography"/>
      </w:pPr>
      <w:r>
        <w:t xml:space="preserve">(19)</w:t>
      </w:r>
      <w:r>
        <w:t xml:space="preserve"> </w:t>
      </w:r>
      <w:r>
        <w:t xml:space="preserve">	</w:t>
      </w:r>
      <w:r>
        <w:t xml:space="preserve">Verschaffelt, P.; Collier, J.; Botzki, A.; Martens, L.; Dawyndt, P.; Mesuere, B. Unipept Visualizations: An Interactive Visualization Library for Biological Data.</w:t>
      </w:r>
      <w:r>
        <w:t xml:space="preserve"> </w:t>
      </w:r>
      <w:r>
        <w:rPr>
          <w:iCs/>
          <w:i/>
        </w:rPr>
        <w:t xml:space="preserve">Bioinformatics</w:t>
      </w:r>
      <w:r>
        <w:t xml:space="preserve"> </w:t>
      </w:r>
      <w:r>
        <w:rPr>
          <w:bCs/>
          <w:b/>
        </w:rPr>
        <w:t xml:space="preserve">2022</w:t>
      </w:r>
      <w:r>
        <w:t xml:space="preserve">,</w:t>
      </w:r>
      <w:r>
        <w:t xml:space="preserve"> </w:t>
      </w:r>
      <w:r>
        <w:rPr>
          <w:iCs/>
          <w:i/>
        </w:rPr>
        <w:t xml:space="preserve">38</w:t>
      </w:r>
      <w:r>
        <w:t xml:space="preserve"> </w:t>
      </w:r>
      <w:r>
        <w:t xml:space="preserve">(2), 562–563.</w:t>
      </w:r>
    </w:p>
    <w:bookmarkEnd w:id="162"/>
    <w:bookmarkStart w:id="163" w:name="ref-kerren2017biovis"/>
    <w:p>
      <w:pPr>
        <w:pStyle w:val="Bibliography"/>
      </w:pPr>
      <w:r>
        <w:t xml:space="preserve">(20)</w:t>
      </w:r>
      <w:r>
        <w:t xml:space="preserve"> </w:t>
      </w:r>
      <w:r>
        <w:t xml:space="preserve">	</w:t>
      </w:r>
      <w:r>
        <w:t xml:space="preserve">Kerren, A.; Kucher, K.; Li, Y.-F.; Schreiber, F. BioVis Explorer: A Visual Guide for Biological Data Visualization Techniques.</w:t>
      </w:r>
      <w:r>
        <w:t xml:space="preserve"> </w:t>
      </w:r>
      <w:r>
        <w:rPr>
          <w:iCs/>
          <w:i/>
        </w:rPr>
        <w:t xml:space="preserve">PLoS One</w:t>
      </w:r>
      <w:r>
        <w:t xml:space="preserve"> </w:t>
      </w:r>
      <w:r>
        <w:rPr>
          <w:bCs/>
          <w:b/>
        </w:rPr>
        <w:t xml:space="preserve">2017</w:t>
      </w:r>
      <w:r>
        <w:t xml:space="preserve">,</w:t>
      </w:r>
      <w:r>
        <w:t xml:space="preserve"> </w:t>
      </w:r>
      <w:r>
        <w:rPr>
          <w:iCs/>
          <w:i/>
        </w:rPr>
        <w:t xml:space="preserve">12</w:t>
      </w:r>
      <w:r>
        <w:t xml:space="preserve"> </w:t>
      </w:r>
      <w:r>
        <w:t xml:space="preserve">(11), e0187341.</w:t>
      </w:r>
    </w:p>
    <w:bookmarkEnd w:id="163"/>
    <w:bookmarkStart w:id="165" w:name="ref-kellergithub"/>
    <w:p>
      <w:pPr>
        <w:pStyle w:val="Bibliography"/>
      </w:pPr>
      <w:r>
        <w:t xml:space="preserve">(21)</w:t>
      </w:r>
      <w:r>
        <w:t xml:space="preserve"> </w:t>
      </w:r>
      <w:r>
        <w:t xml:space="preserve">	</w:t>
      </w:r>
      <w:r>
        <w:t xml:space="preserve">Keller, M. Interactive Visualization of Biological Data on the Web, 2020.</w:t>
      </w:r>
      <w:r>
        <w:t xml:space="preserve"> </w:t>
      </w:r>
      <w:hyperlink r:id="rId164">
        <w:r>
          <w:rPr>
            <w:rStyle w:val="Hyperlink"/>
          </w:rPr>
          <w:t xml:space="preserve">https://github.com/keller-mark/awesome-biological-visualizations</w:t>
        </w:r>
      </w:hyperlink>
      <w:r>
        <w:t xml:space="preserve">.</w:t>
      </w:r>
    </w:p>
    <w:bookmarkEnd w:id="165"/>
    <w:bookmarkStart w:id="166" w:name="ref-white2021flowkit"/>
    <w:p>
      <w:pPr>
        <w:pStyle w:val="Bibliography"/>
      </w:pPr>
      <w:r>
        <w:t xml:space="preserve">(22)</w:t>
      </w:r>
      <w:r>
        <w:t xml:space="preserve"> </w:t>
      </w:r>
      <w:r>
        <w:t xml:space="preserve">	</w:t>
      </w:r>
      <w:r>
        <w:t xml:space="preserve">White, S.; Quinn, J.; Enzor, J.; Staats, J.; Mosier, S. M.; Almarode, J.; Denny, T. N.; Weinhold, K. J.; Ferrari, G.; Chan, C. FlowKit: A Python Toolkit for Integrated Manual and Automated Cytometry Analysis Workflows.</w:t>
      </w:r>
      <w:r>
        <w:t xml:space="preserve"> </w:t>
      </w:r>
      <w:r>
        <w:rPr>
          <w:iCs/>
          <w:i/>
        </w:rPr>
        <w:t xml:space="preserve">Frontiers in immunology</w:t>
      </w:r>
      <w:r>
        <w:t xml:space="preserve"> </w:t>
      </w:r>
      <w:r>
        <w:rPr>
          <w:bCs/>
          <w:b/>
        </w:rPr>
        <w:t xml:space="preserve">2021</w:t>
      </w:r>
      <w:r>
        <w:t xml:space="preserve">,</w:t>
      </w:r>
      <w:r>
        <w:t xml:space="preserve"> </w:t>
      </w:r>
      <w:r>
        <w:rPr>
          <w:iCs/>
          <w:i/>
        </w:rPr>
        <w:t xml:space="preserve">12</w:t>
      </w:r>
      <w:r>
        <w:t xml:space="preserve">, 768541.</w:t>
      </w:r>
    </w:p>
    <w:bookmarkEnd w:id="166"/>
    <w:bookmarkStart w:id="167" w:name="ref-castillo2016flowcal"/>
    <w:p>
      <w:pPr>
        <w:pStyle w:val="Bibliography"/>
      </w:pPr>
      <w:r>
        <w:t xml:space="preserve">(23)</w:t>
      </w:r>
      <w:r>
        <w:t xml:space="preserve"> </w:t>
      </w:r>
      <w:r>
        <w:t xml:space="preserve">	</w:t>
      </w:r>
      <w:r>
        <w:t xml:space="preserve">Castillo-Hair, S. M.; Sexton, J. T.; Landry, B. P.; Olson, E. J.; Igoshin, O. A.; Tabor, J. J. FlowCal: A User-Friendly, Open Source Software Tool for Automatically Converting Flow Cytometry Data from Arbitrary to Calibrated Units.</w:t>
      </w:r>
      <w:r>
        <w:t xml:space="preserve"> </w:t>
      </w:r>
      <w:r>
        <w:rPr>
          <w:iCs/>
          <w:i/>
        </w:rPr>
        <w:t xml:space="preserve">ACS synthetic biology</w:t>
      </w:r>
      <w:r>
        <w:t xml:space="preserve"> </w:t>
      </w:r>
      <w:r>
        <w:rPr>
          <w:bCs/>
          <w:b/>
        </w:rPr>
        <w:t xml:space="preserve">2016</w:t>
      </w:r>
      <w:r>
        <w:t xml:space="preserve">,</w:t>
      </w:r>
      <w:r>
        <w:t xml:space="preserve"> </w:t>
      </w:r>
      <w:r>
        <w:rPr>
          <w:iCs/>
          <w:i/>
        </w:rPr>
        <w:t xml:space="preserve">5</w:t>
      </w:r>
      <w:r>
        <w:t xml:space="preserve"> </w:t>
      </w:r>
      <w:r>
        <w:t xml:space="preserve">(7), 774–780.</w:t>
      </w:r>
    </w:p>
    <w:bookmarkEnd w:id="167"/>
    <w:bookmarkStart w:id="168" w:name="ref-kouba2023machine"/>
    <w:p>
      <w:pPr>
        <w:pStyle w:val="Bibliography"/>
      </w:pPr>
      <w:r>
        <w:t xml:space="preserve">(24)</w:t>
      </w:r>
      <w:r>
        <w:t xml:space="preserve"> </w:t>
      </w:r>
      <w:r>
        <w:t xml:space="preserve">	</w:t>
      </w:r>
      <w:r>
        <w:t xml:space="preserve">Kouba, P.; Kohout, P.; Haddadi, F.; Bushuiev, A.; Samusevich, R.; Sedlar, J.; Damborsky, J.; Pluskal, T.; Sivic, J.; Mazurenko, S. Machine Learning-Guided Protein Engineering.</w:t>
      </w:r>
      <w:r>
        <w:t xml:space="preserve"> </w:t>
      </w:r>
      <w:r>
        <w:rPr>
          <w:iCs/>
          <w:i/>
        </w:rPr>
        <w:t xml:space="preserve">ACS catalysis</w:t>
      </w:r>
      <w:r>
        <w:t xml:space="preserve"> </w:t>
      </w:r>
      <w:r>
        <w:rPr>
          <w:bCs/>
          <w:b/>
        </w:rPr>
        <w:t xml:space="preserve">2023</w:t>
      </w:r>
      <w:r>
        <w:t xml:space="preserve">,</w:t>
      </w:r>
      <w:r>
        <w:t xml:space="preserve"> </w:t>
      </w:r>
      <w:r>
        <w:rPr>
          <w:iCs/>
          <w:i/>
        </w:rPr>
        <w:t xml:space="preserve">13</w:t>
      </w:r>
      <w:r>
        <w:t xml:space="preserve"> </w:t>
      </w:r>
      <w:r>
        <w:t xml:space="preserve">(21), 13863–13895.</w:t>
      </w:r>
    </w:p>
    <w:bookmarkEnd w:id="168"/>
    <w:bookmarkStart w:id="169" w:name="ref-kazlauskas2009finding"/>
    <w:p>
      <w:pPr>
        <w:pStyle w:val="Bibliography"/>
      </w:pPr>
      <w:r>
        <w:t xml:space="preserve">(25)</w:t>
      </w:r>
      <w:r>
        <w:t xml:space="preserve"> </w:t>
      </w:r>
      <w:r>
        <w:t xml:space="preserve">	</w:t>
      </w:r>
      <w:r>
        <w:t xml:space="preserve">Kazlauskas, R. J.; Bornscheuer, U. T. Finding Better Protein Engineering Strategies.</w:t>
      </w:r>
      <w:r>
        <w:t xml:space="preserve"> </w:t>
      </w:r>
      <w:r>
        <w:rPr>
          <w:iCs/>
          <w:i/>
        </w:rPr>
        <w:t xml:space="preserve">Nature chemical biology</w:t>
      </w:r>
      <w:r>
        <w:t xml:space="preserve"> </w:t>
      </w:r>
      <w:r>
        <w:rPr>
          <w:bCs/>
          <w:b/>
        </w:rPr>
        <w:t xml:space="preserve">2009</w:t>
      </w:r>
      <w:r>
        <w:t xml:space="preserve">,</w:t>
      </w:r>
      <w:r>
        <w:t xml:space="preserve"> </w:t>
      </w:r>
      <w:r>
        <w:rPr>
          <w:iCs/>
          <w:i/>
        </w:rPr>
        <w:t xml:space="preserve">5</w:t>
      </w:r>
      <w:r>
        <w:t xml:space="preserve"> </w:t>
      </w:r>
      <w:r>
        <w:t xml:space="preserve">(8), 526–529.</w:t>
      </w:r>
    </w:p>
    <w:bookmarkEnd w:id="169"/>
    <w:bookmarkStart w:id="170" w:name="ref-listgarten2024perpetual"/>
    <w:p>
      <w:pPr>
        <w:pStyle w:val="Bibliography"/>
      </w:pPr>
      <w:r>
        <w:t xml:space="preserve">(26)</w:t>
      </w:r>
      <w:r>
        <w:t xml:space="preserve"> </w:t>
      </w:r>
      <w:r>
        <w:t xml:space="preserve">	</w:t>
      </w:r>
      <w:r>
        <w:t xml:space="preserve">Listgarten, J. The Perpetual Motion Machine of AI-Generated Data and the Distraction of ChatGPT as a</w:t>
      </w:r>
      <w:r>
        <w:t xml:space="preserve"> </w:t>
      </w:r>
      <w:r>
        <w:t xml:space="preserve">“Scientist.”</w:t>
      </w:r>
      <w:r>
        <w:t xml:space="preserve"> </w:t>
      </w:r>
      <w:r>
        <w:rPr>
          <w:iCs/>
          <w:i/>
        </w:rPr>
        <w:t xml:space="preserve">Nature Biotechnology</w:t>
      </w:r>
      <w:r>
        <w:t xml:space="preserve"> </w:t>
      </w:r>
      <w:r>
        <w:rPr>
          <w:bCs/>
          <w:b/>
        </w:rPr>
        <w:t xml:space="preserve">2024</w:t>
      </w:r>
      <w:r>
        <w:t xml:space="preserve">,</w:t>
      </w:r>
      <w:r>
        <w:t xml:space="preserve"> </w:t>
      </w:r>
      <w:r>
        <w:rPr>
          <w:iCs/>
          <w:i/>
        </w:rPr>
        <w:t xml:space="preserve">42</w:t>
      </w:r>
      <w:r>
        <w:t xml:space="preserve"> </w:t>
      </w:r>
      <w:r>
        <w:t xml:space="preserve">(3), 371–373.</w:t>
      </w:r>
    </w:p>
    <w:bookmarkEnd w:id="170"/>
    <w:bookmarkStart w:id="171" w:name="ref-slusarczyk2012foundations"/>
    <w:p>
      <w:pPr>
        <w:pStyle w:val="Bibliography"/>
      </w:pPr>
      <w:r>
        <w:t xml:space="preserve">(27)</w:t>
      </w:r>
      <w:r>
        <w:t xml:space="preserve"> </w:t>
      </w:r>
      <w:r>
        <w:t xml:space="preserve">	</w:t>
      </w:r>
      <w:r>
        <w:t xml:space="preserve">Slusarczyk, A. L.; Lin, A.; Weiss, R. Foundations for the Design and Implementation of Synthetic Genetic Circuits.</w:t>
      </w:r>
      <w:r>
        <w:t xml:space="preserve"> </w:t>
      </w:r>
      <w:r>
        <w:rPr>
          <w:iCs/>
          <w:i/>
        </w:rPr>
        <w:t xml:space="preserve">Nature Reviews Genetics</w:t>
      </w:r>
      <w:r>
        <w:t xml:space="preserve"> </w:t>
      </w:r>
      <w:r>
        <w:rPr>
          <w:bCs/>
          <w:b/>
        </w:rPr>
        <w:t xml:space="preserve">2012</w:t>
      </w:r>
      <w:r>
        <w:t xml:space="preserve">,</w:t>
      </w:r>
      <w:r>
        <w:t xml:space="preserve"> </w:t>
      </w:r>
      <w:r>
        <w:rPr>
          <w:iCs/>
          <w:i/>
        </w:rPr>
        <w:t xml:space="preserve">13</w:t>
      </w:r>
      <w:r>
        <w:t xml:space="preserve"> </w:t>
      </w:r>
      <w:r>
        <w:t xml:space="preserve">(6), 406–420.</w:t>
      </w:r>
    </w:p>
    <w:bookmarkEnd w:id="171"/>
    <w:bookmarkStart w:id="172" w:name="ref-kaczmarek2021effective"/>
    <w:p>
      <w:pPr>
        <w:pStyle w:val="Bibliography"/>
      </w:pPr>
      <w:r>
        <w:t xml:space="preserve">(28)</w:t>
      </w:r>
      <w:r>
        <w:t xml:space="preserve"> </w:t>
      </w:r>
      <w:r>
        <w:t xml:space="preserve">	</w:t>
      </w:r>
      <w:r>
        <w:t xml:space="preserve">Kaczmarek, J. A.; Prather, K. L. Effective Use of Biosensors for High-Throughput Library Screening for Metabolite Production.</w:t>
      </w:r>
      <w:r>
        <w:t xml:space="preserve"> </w:t>
      </w:r>
      <w:r>
        <w:rPr>
          <w:iCs/>
          <w:i/>
        </w:rPr>
        <w:t xml:space="preserve">Journal of Industrial Microbiology and Biotechnology</w:t>
      </w:r>
      <w:r>
        <w:t xml:space="preserve"> </w:t>
      </w:r>
      <w:r>
        <w:rPr>
          <w:bCs/>
          <w:b/>
        </w:rPr>
        <w:t xml:space="preserve">2021</w:t>
      </w:r>
      <w:r>
        <w:t xml:space="preserve">,</w:t>
      </w:r>
      <w:r>
        <w:t xml:space="preserve"> </w:t>
      </w:r>
      <w:r>
        <w:rPr>
          <w:iCs/>
          <w:i/>
        </w:rPr>
        <w:t xml:space="preserve">48</w:t>
      </w:r>
      <w:r>
        <w:t xml:space="preserve"> </w:t>
      </w:r>
      <w:r>
        <w:t xml:space="preserve">(9-10), kuab049.</w:t>
      </w:r>
    </w:p>
    <w:bookmarkEnd w:id="172"/>
    <w:bookmarkStart w:id="173" w:name="ref-yokobayashi2002directed"/>
    <w:p>
      <w:pPr>
        <w:pStyle w:val="Bibliography"/>
      </w:pPr>
      <w:r>
        <w:t xml:space="preserve">(29)</w:t>
      </w:r>
      <w:r>
        <w:t xml:space="preserve"> </w:t>
      </w:r>
      <w:r>
        <w:t xml:space="preserve">	</w:t>
      </w:r>
      <w:r>
        <w:t xml:space="preserve">Yokobayashi, Y.; Weiss, R.; Arnold, F. H. Directed Evolution of a Genetic Circuit.</w:t>
      </w:r>
      <w:r>
        <w:t xml:space="preserve"> </w:t>
      </w:r>
      <w:r>
        <w:rPr>
          <w:iCs/>
          <w:i/>
        </w:rPr>
        <w:t xml:space="preserve">Proceedings of the National Academy of Sciences</w:t>
      </w:r>
      <w:r>
        <w:t xml:space="preserve"> </w:t>
      </w:r>
      <w:r>
        <w:rPr>
          <w:bCs/>
          <w:b/>
        </w:rPr>
        <w:t xml:space="preserve">2002</w:t>
      </w:r>
      <w:r>
        <w:t xml:space="preserve">,</w:t>
      </w:r>
      <w:r>
        <w:t xml:space="preserve"> </w:t>
      </w:r>
      <w:r>
        <w:rPr>
          <w:iCs/>
          <w:i/>
        </w:rPr>
        <w:t xml:space="preserve">99</w:t>
      </w:r>
      <w:r>
        <w:t xml:space="preserve"> </w:t>
      </w:r>
      <w:r>
        <w:t xml:space="preserve">(26), 16587–16591.</w:t>
      </w:r>
    </w:p>
    <w:bookmarkEnd w:id="173"/>
    <w:bookmarkStart w:id="174" w:name="ref-wang2018gfp"/>
    <w:p>
      <w:pPr>
        <w:pStyle w:val="Bibliography"/>
      </w:pPr>
      <w:r>
        <w:t xml:space="preserve">(30)</w:t>
      </w:r>
      <w:r>
        <w:t xml:space="preserve"> </w:t>
      </w:r>
      <w:r>
        <w:t xml:space="preserve">	</w:t>
      </w:r>
      <w:r>
        <w:t xml:space="preserve">Wang, G.; Jia, W.; Chen, N.; Zhang, K.; Wang, L.; Lv, P.; He, R.; Wang, M.; Zhang, D. A GFP-Fusion Coupling FACS Platform for Advancing the Metabolic Engineering of Filamentous Fungi.</w:t>
      </w:r>
      <w:r>
        <w:t xml:space="preserve"> </w:t>
      </w:r>
      <w:r>
        <w:rPr>
          <w:iCs/>
          <w:i/>
        </w:rPr>
        <w:t xml:space="preserve">Biotechnology for biofuels</w:t>
      </w:r>
      <w:r>
        <w:t xml:space="preserve"> </w:t>
      </w:r>
      <w:r>
        <w:rPr>
          <w:bCs/>
          <w:b/>
        </w:rPr>
        <w:t xml:space="preserve">2018</w:t>
      </w:r>
      <w:r>
        <w:t xml:space="preserve">,</w:t>
      </w:r>
      <w:r>
        <w:t xml:space="preserve"> </w:t>
      </w:r>
      <w:r>
        <w:rPr>
          <w:iCs/>
          <w:i/>
        </w:rPr>
        <w:t xml:space="preserve">11</w:t>
      </w:r>
      <w:r>
        <w:t xml:space="preserve">, 1–12.</w:t>
      </w:r>
    </w:p>
    <w:bookmarkEnd w:id="174"/>
    <w:bookmarkStart w:id="175" w:name="ref-yeom2018synthetic"/>
    <w:p>
      <w:pPr>
        <w:pStyle w:val="Bibliography"/>
      </w:pPr>
      <w:r>
        <w:t xml:space="preserve">(31)</w:t>
      </w:r>
      <w:r>
        <w:t xml:space="preserve"> </w:t>
      </w:r>
      <w:r>
        <w:t xml:space="preserve">	</w:t>
      </w:r>
      <w:r>
        <w:t xml:space="preserve">Yeom, S.-J.; Kim, M.; Kwon, K. K.; Fu, Y.; Rha, E.; Park, S.-H.; Lee, H.; Kim, H.; Lee, D.-H.; Kim, D.-M.; others. A Synthetic Microbial Biosensor for High-Throughput Screening of Lactam Biocatalysts.</w:t>
      </w:r>
      <w:r>
        <w:t xml:space="preserve"> </w:t>
      </w:r>
      <w:r>
        <w:rPr>
          <w:iCs/>
          <w:i/>
        </w:rPr>
        <w:t xml:space="preserve">Nature Communications</w:t>
      </w:r>
      <w:r>
        <w:t xml:space="preserve"> </w:t>
      </w:r>
      <w:r>
        <w:rPr>
          <w:bCs/>
          <w:b/>
        </w:rPr>
        <w:t xml:space="preserve">2018</w:t>
      </w:r>
      <w:r>
        <w:t xml:space="preserve">,</w:t>
      </w:r>
      <w:r>
        <w:t xml:space="preserve"> </w:t>
      </w:r>
      <w:r>
        <w:rPr>
          <w:iCs/>
          <w:i/>
        </w:rPr>
        <w:t xml:space="preserve">9</w:t>
      </w:r>
      <w:r>
        <w:t xml:space="preserve"> </w:t>
      </w:r>
      <w:r>
        <w:t xml:space="preserve">(1), 5053.</w:t>
      </w:r>
    </w:p>
    <w:bookmarkEnd w:id="175"/>
    <w:bookmarkStart w:id="176" w:name="ref-choi2014toward"/>
    <w:p>
      <w:pPr>
        <w:pStyle w:val="Bibliography"/>
      </w:pPr>
      <w:r>
        <w:t xml:space="preserve">(32)</w:t>
      </w:r>
      <w:r>
        <w:t xml:space="preserve"> </w:t>
      </w:r>
      <w:r>
        <w:t xml:space="preserve">	</w:t>
      </w:r>
      <w:r>
        <w:t xml:space="preserve">Choi, S.-L.; Rha, E.; Lee, S. J.; Kim, H.; Kwon, K.; Jeong, Y.-S.; Rhee, Y. H.; Song, J. J.; Kim, H.-S.; Lee, S.-G. Toward a Generalized and High-Throughput Enzyme Screening System Based on Artificial Genetic Circuits.</w:t>
      </w:r>
      <w:r>
        <w:t xml:space="preserve"> </w:t>
      </w:r>
      <w:r>
        <w:rPr>
          <w:iCs/>
          <w:i/>
        </w:rPr>
        <w:t xml:space="preserve">ACS synthetic biology</w:t>
      </w:r>
      <w:r>
        <w:t xml:space="preserve"> </w:t>
      </w:r>
      <w:r>
        <w:rPr>
          <w:bCs/>
          <w:b/>
        </w:rPr>
        <w:t xml:space="preserve">2014</w:t>
      </w:r>
      <w:r>
        <w:t xml:space="preserve">,</w:t>
      </w:r>
      <w:r>
        <w:t xml:space="preserve"> </w:t>
      </w:r>
      <w:r>
        <w:rPr>
          <w:iCs/>
          <w:i/>
        </w:rPr>
        <w:t xml:space="preserve">3</w:t>
      </w:r>
      <w:r>
        <w:t xml:space="preserve"> </w:t>
      </w:r>
      <w:r>
        <w:t xml:space="preserve">(3), 163–171.</w:t>
      </w:r>
    </w:p>
    <w:bookmarkEnd w:id="176"/>
    <w:bookmarkStart w:id="177" w:name="ref-kurczab2014influence"/>
    <w:p>
      <w:pPr>
        <w:pStyle w:val="Bibliography"/>
      </w:pPr>
      <w:r>
        <w:t xml:space="preserve">(33)</w:t>
      </w:r>
      <w:r>
        <w:t xml:space="preserve"> </w:t>
      </w:r>
      <w:r>
        <w:t xml:space="preserve">	</w:t>
      </w:r>
      <w:r>
        <w:t xml:space="preserve">Kurczab, R.; Smusz, S.; Bojarski, A. J. The Influence of Negative Training Set Size on Machine Learning-Based Virtual Screening.</w:t>
      </w:r>
      <w:r>
        <w:t xml:space="preserve"> </w:t>
      </w:r>
      <w:r>
        <w:rPr>
          <w:iCs/>
          <w:i/>
        </w:rPr>
        <w:t xml:space="preserve">Journal of cheminformatics</w:t>
      </w:r>
      <w:r>
        <w:t xml:space="preserve"> </w:t>
      </w:r>
      <w:r>
        <w:rPr>
          <w:bCs/>
          <w:b/>
        </w:rPr>
        <w:t xml:space="preserve">2014</w:t>
      </w:r>
      <w:r>
        <w:t xml:space="preserve">,</w:t>
      </w:r>
      <w:r>
        <w:t xml:space="preserve"> </w:t>
      </w:r>
      <w:r>
        <w:rPr>
          <w:iCs/>
          <w:i/>
        </w:rPr>
        <w:t xml:space="preserve">6</w:t>
      </w:r>
      <w:r>
        <w:t xml:space="preserve">, 1–9.</w:t>
      </w:r>
    </w:p>
    <w:bookmarkEnd w:id="177"/>
    <w:bookmarkStart w:id="178" w:name="ref-maloney2023negative"/>
    <w:p>
      <w:pPr>
        <w:pStyle w:val="Bibliography"/>
      </w:pPr>
      <w:r>
        <w:t xml:space="preserve">(34)</w:t>
      </w:r>
      <w:r>
        <w:t xml:space="preserve"> </w:t>
      </w:r>
      <w:r>
        <w:t xml:space="preserve">	</w:t>
      </w:r>
      <w:r>
        <w:t xml:space="preserve">Maloney, M. P.; Coley, C. W.; Genheden, S.; Carson, N.; Helquist, P.; Norrby, P.-O.; Wiest, O. Negative Data in Data Sets for Machine Learning Training.</w:t>
      </w:r>
      <w:r>
        <w:t xml:space="preserve"> </w:t>
      </w:r>
      <w:r>
        <w:rPr>
          <w:iCs/>
          <w:i/>
        </w:rPr>
        <w:t xml:space="preserve">Organic Letters</w:t>
      </w:r>
      <w:r>
        <w:t xml:space="preserve">, 2023,</w:t>
      </w:r>
      <w:r>
        <w:t xml:space="preserve"> </w:t>
      </w:r>
      <w:r>
        <w:rPr>
          <w:iCs/>
          <w:i/>
        </w:rPr>
        <w:t xml:space="preserve">25</w:t>
      </w:r>
      <w:r>
        <w:t xml:space="preserve">, 2945–2947.</w:t>
      </w:r>
    </w:p>
    <w:bookmarkEnd w:id="178"/>
    <w:bookmarkStart w:id="179" w:name="ref-park2020tetrameric"/>
    <w:p>
      <w:pPr>
        <w:pStyle w:val="Bibliography"/>
      </w:pPr>
      <w:r>
        <w:t xml:space="preserve">(35)</w:t>
      </w:r>
      <w:r>
        <w:t xml:space="preserve"> </w:t>
      </w:r>
      <w:r>
        <w:t xml:space="preserve">	</w:t>
      </w:r>
      <w:r>
        <w:t xml:space="preserve">Park, K.-H.; Kim, S.; Lee, S.-J.; Cho, J.-E.; Patil, V. V.; Dumbrepatil, A. B.; Song, H.-N.; Ahn, W.-C.; Joo, C.; Lee, S.-G.; others. Tetrameric Architecture of an Active Phenol-Bound Form of the AAA+ Transcriptional Regulator DmpR.</w:t>
      </w:r>
      <w:r>
        <w:t xml:space="preserve"> </w:t>
      </w:r>
      <w:r>
        <w:rPr>
          <w:iCs/>
          <w:i/>
        </w:rPr>
        <w:t xml:space="preserve">Nature communications</w:t>
      </w:r>
      <w:r>
        <w:t xml:space="preserve"> </w:t>
      </w:r>
      <w:r>
        <w:rPr>
          <w:bCs/>
          <w:b/>
        </w:rPr>
        <w:t xml:space="preserve">2020</w:t>
      </w:r>
      <w:r>
        <w:t xml:space="preserve">,</w:t>
      </w:r>
      <w:r>
        <w:t xml:space="preserve"> </w:t>
      </w:r>
      <w:r>
        <w:rPr>
          <w:iCs/>
          <w:i/>
        </w:rPr>
        <w:t xml:space="preserve">11</w:t>
      </w:r>
      <w:r>
        <w:t xml:space="preserve"> </w:t>
      </w:r>
      <w:r>
        <w:t xml:space="preserve">(1), 2728.</w:t>
      </w:r>
    </w:p>
    <w:bookmarkEnd w:id="179"/>
    <w:bookmarkStart w:id="180" w:name="ref-gupta2012effective"/>
    <w:p>
      <w:pPr>
        <w:pStyle w:val="Bibliography"/>
      </w:pPr>
      <w:r>
        <w:t xml:space="preserve">(36)</w:t>
      </w:r>
      <w:r>
        <w:t xml:space="preserve"> </w:t>
      </w:r>
      <w:r>
        <w:t xml:space="preserve">	</w:t>
      </w:r>
      <w:r>
        <w:t xml:space="preserve">Gupta, S.; Saxena, M.; Saini, N.; Mahmooduzzafar; Kumar, R.; Kumar, A. An Effective Strategy for a Whole-Cell Biosensor Based on Putative Effector Interaction Site of the Regulatory DmpR Protein.</w:t>
      </w:r>
      <w:r>
        <w:t xml:space="preserve"> </w:t>
      </w:r>
      <w:r>
        <w:rPr>
          <w:bCs/>
          <w:b/>
        </w:rPr>
        <w:t xml:space="preserve">2012</w:t>
      </w:r>
      <w:r>
        <w:t xml:space="preserve">.</w:t>
      </w:r>
    </w:p>
    <w:bookmarkEnd w:id="180"/>
    <w:bookmarkStart w:id="181" w:name="ref-pavel1994aromatic"/>
    <w:p>
      <w:pPr>
        <w:pStyle w:val="Bibliography"/>
      </w:pPr>
      <w:r>
        <w:t xml:space="preserve">(37)</w:t>
      </w:r>
      <w:r>
        <w:t xml:space="preserve"> </w:t>
      </w:r>
      <w:r>
        <w:t xml:space="preserve">	</w:t>
      </w:r>
      <w:r>
        <w:t xml:space="preserve">Pavel, H.; Forsman, M.; Shingler, V. An Aromatic Effector Specificity Mutant of the Transcriptional Regulator DmpR Overcomes the Growth Constraints of Pseudomonas Sp. Strain CF600 on Para-Substituted Methylphenols.</w:t>
      </w:r>
      <w:r>
        <w:t xml:space="preserve"> </w:t>
      </w:r>
      <w:r>
        <w:rPr>
          <w:iCs/>
          <w:i/>
        </w:rPr>
        <w:t xml:space="preserve">Journal of bacteriology</w:t>
      </w:r>
      <w:r>
        <w:t xml:space="preserve"> </w:t>
      </w:r>
      <w:r>
        <w:rPr>
          <w:bCs/>
          <w:b/>
        </w:rPr>
        <w:t xml:space="preserve">1994</w:t>
      </w:r>
      <w:r>
        <w:t xml:space="preserve">,</w:t>
      </w:r>
      <w:r>
        <w:t xml:space="preserve"> </w:t>
      </w:r>
      <w:r>
        <w:rPr>
          <w:iCs/>
          <w:i/>
        </w:rPr>
        <w:t xml:space="preserve">176</w:t>
      </w:r>
      <w:r>
        <w:t xml:space="preserve"> </w:t>
      </w:r>
      <w:r>
        <w:t xml:space="preserve">(24), 7550–7557.</w:t>
      </w:r>
    </w:p>
    <w:bookmarkEnd w:id="181"/>
    <w:bookmarkStart w:id="182" w:name="ref-hecko2023enlightening"/>
    <w:p>
      <w:pPr>
        <w:pStyle w:val="Bibliography"/>
      </w:pPr>
      <w:r>
        <w:t xml:space="preserve">(38)</w:t>
      </w:r>
      <w:r>
        <w:t xml:space="preserve"> </w:t>
      </w:r>
      <w:r>
        <w:t xml:space="preserve">	</w:t>
      </w:r>
      <w:r>
        <w:t xml:space="preserve">Hecko, S.; Schiefer, A.; Badenhorst, C. P.; Fink, M. J.; Mihovilovic, M. D.; Bornscheuer, U. T.; Rudroff, F. Enlightening the Path to Protein Engineering: Chemoselective Turn-on Probes for High-Throughput Screening of Enzymatic Activity.</w:t>
      </w:r>
      <w:r>
        <w:t xml:space="preserve"> </w:t>
      </w:r>
      <w:r>
        <w:rPr>
          <w:iCs/>
          <w:i/>
        </w:rPr>
        <w:t xml:space="preserve">Chemical Reviews</w:t>
      </w:r>
      <w:r>
        <w:t xml:space="preserve"> </w:t>
      </w:r>
      <w:r>
        <w:rPr>
          <w:bCs/>
          <w:b/>
        </w:rPr>
        <w:t xml:space="preserve">2023</w:t>
      </w:r>
      <w:r>
        <w:t xml:space="preserve">,</w:t>
      </w:r>
      <w:r>
        <w:t xml:space="preserve"> </w:t>
      </w:r>
      <w:r>
        <w:rPr>
          <w:iCs/>
          <w:i/>
        </w:rPr>
        <w:t xml:space="preserve">123</w:t>
      </w:r>
      <w:r>
        <w:t xml:space="preserve"> </w:t>
      </w:r>
      <w:r>
        <w:t xml:space="preserve">(6), 2832–2901.</w:t>
      </w:r>
    </w:p>
    <w:bookmarkEnd w:id="182"/>
    <w:bookmarkStart w:id="183" w:name="ref-rapp2024self"/>
    <w:p>
      <w:pPr>
        <w:pStyle w:val="Bibliography"/>
      </w:pPr>
      <w:r>
        <w:t xml:space="preserve">(39)</w:t>
      </w:r>
      <w:r>
        <w:t xml:space="preserve"> </w:t>
      </w:r>
      <w:r>
        <w:t xml:space="preserve">	</w:t>
      </w:r>
      <w:r>
        <w:t xml:space="preserve">Rapp, J. T.; Bremer, B. J.; Romero, P. A. Self-Driving Laboratories to Autonomously Navigate the Protein Fitness Landscape.</w:t>
      </w:r>
      <w:r>
        <w:t xml:space="preserve"> </w:t>
      </w:r>
      <w:r>
        <w:rPr>
          <w:iCs/>
          <w:i/>
        </w:rPr>
        <w:t xml:space="preserve">Nature chemical engineering</w:t>
      </w:r>
      <w:r>
        <w:t xml:space="preserve"> </w:t>
      </w:r>
      <w:r>
        <w:rPr>
          <w:bCs/>
          <w:b/>
        </w:rPr>
        <w:t xml:space="preserve">2024</w:t>
      </w:r>
      <w:r>
        <w:t xml:space="preserve">,</w:t>
      </w:r>
      <w:r>
        <w:t xml:space="preserve"> </w:t>
      </w:r>
      <w:r>
        <w:rPr>
          <w:iCs/>
          <w:i/>
        </w:rPr>
        <w:t xml:space="preserve">1</w:t>
      </w:r>
      <w:r>
        <w:t xml:space="preserve"> </w:t>
      </w:r>
      <w:r>
        <w:t xml:space="preserve">(1), 97–107.</w:t>
      </w:r>
    </w:p>
    <w:bookmarkEnd w:id="183"/>
    <w:bookmarkStart w:id="184" w:name="ref-li2018minimap2"/>
    <w:p>
      <w:pPr>
        <w:pStyle w:val="Bibliography"/>
      </w:pPr>
      <w:r>
        <w:t xml:space="preserve">(40)</w:t>
      </w:r>
      <w:r>
        <w:t xml:space="preserve"> </w:t>
      </w:r>
      <w:r>
        <w:t xml:space="preserve">	</w:t>
      </w:r>
      <w:r>
        <w:t xml:space="preserve">Li, H. Minimap2: Pairwise Alignment for Nucleotide Sequences.</w:t>
      </w:r>
      <w:r>
        <w:t xml:space="preserve"> </w:t>
      </w:r>
      <w:r>
        <w:rPr>
          <w:iCs/>
          <w:i/>
        </w:rPr>
        <w:t xml:space="preserve">Bioinformatics</w:t>
      </w:r>
      <w:r>
        <w:t xml:space="preserve"> </w:t>
      </w:r>
      <w:r>
        <w:rPr>
          <w:bCs/>
          <w:b/>
        </w:rPr>
        <w:t xml:space="preserve">2018</w:t>
      </w:r>
      <w:r>
        <w:t xml:space="preserve">,</w:t>
      </w:r>
      <w:r>
        <w:t xml:space="preserve"> </w:t>
      </w:r>
      <w:r>
        <w:rPr>
          <w:iCs/>
          <w:i/>
        </w:rPr>
        <w:t xml:space="preserve">34</w:t>
      </w:r>
      <w:r>
        <w:t xml:space="preserve"> </w:t>
      </w:r>
      <w:r>
        <w:t xml:space="preserve">(18), 3094–3100.</w:t>
      </w:r>
    </w:p>
    <w:bookmarkEnd w:id="184"/>
    <w:bookmarkStart w:id="185" w:name="ref-danecek2021twelve"/>
    <w:p>
      <w:pPr>
        <w:pStyle w:val="Bibliography"/>
      </w:pPr>
      <w:r>
        <w:t xml:space="preserve">(41)</w:t>
      </w:r>
      <w:r>
        <w:t xml:space="preserve"> </w:t>
      </w:r>
      <w:r>
        <w:t xml:space="preserve">	</w:t>
      </w:r>
      <w:r>
        <w:t xml:space="preserve">Danecek, P.; Bonfield, J. K.; Liddle, J.; Marshall, J.; Ohan, V.; Pollard, M. O.; Whitwham, A.; Keane, T.; McCarthy, S. A.; Davies, R. M.; others. Twelve Years of SAMtools and BCFtools.</w:t>
      </w:r>
      <w:r>
        <w:t xml:space="preserve"> </w:t>
      </w:r>
      <w:r>
        <w:rPr>
          <w:iCs/>
          <w:i/>
        </w:rPr>
        <w:t xml:space="preserve">Gigascience</w:t>
      </w:r>
      <w:r>
        <w:t xml:space="preserve"> </w:t>
      </w:r>
      <w:r>
        <w:rPr>
          <w:bCs/>
          <w:b/>
        </w:rPr>
        <w:t xml:space="preserve">2021</w:t>
      </w:r>
      <w:r>
        <w:t xml:space="preserve">,</w:t>
      </w:r>
      <w:r>
        <w:t xml:space="preserve"> </w:t>
      </w:r>
      <w:r>
        <w:rPr>
          <w:iCs/>
          <w:i/>
        </w:rPr>
        <w:t xml:space="preserve">10</w:t>
      </w:r>
      <w:r>
        <w:t xml:space="preserve"> </w:t>
      </w:r>
      <w:r>
        <w:t xml:space="preserve">(2), giab008.</w:t>
      </w:r>
    </w:p>
    <w:bookmarkEnd w:id="185"/>
    <w:bookmarkStart w:id="186" w:name="ref-quinlan2010bedtools"/>
    <w:p>
      <w:pPr>
        <w:pStyle w:val="Bibliography"/>
      </w:pPr>
      <w:r>
        <w:t xml:space="preserve">(42)</w:t>
      </w:r>
      <w:r>
        <w:t xml:space="preserve"> </w:t>
      </w:r>
      <w:r>
        <w:t xml:space="preserve">	</w:t>
      </w:r>
      <w:r>
        <w:t xml:space="preserve">Quinlan, A. R.; Hall, I. M. BEDTools: A Flexible Suite of Utilities for Comparing Genomic Features.</w:t>
      </w:r>
      <w:r>
        <w:t xml:space="preserve"> </w:t>
      </w:r>
      <w:r>
        <w:rPr>
          <w:iCs/>
          <w:i/>
        </w:rPr>
        <w:t xml:space="preserve">Bioinformatics</w:t>
      </w:r>
      <w:r>
        <w:t xml:space="preserve"> </w:t>
      </w:r>
      <w:r>
        <w:rPr>
          <w:bCs/>
          <w:b/>
        </w:rPr>
        <w:t xml:space="preserve">2010</w:t>
      </w:r>
      <w:r>
        <w:t xml:space="preserve">,</w:t>
      </w:r>
      <w:r>
        <w:t xml:space="preserve"> </w:t>
      </w:r>
      <w:r>
        <w:rPr>
          <w:iCs/>
          <w:i/>
        </w:rPr>
        <w:t xml:space="preserve">26</w:t>
      </w:r>
      <w:r>
        <w:t xml:space="preserve"> </w:t>
      </w:r>
      <w:r>
        <w:t xml:space="preserve">(6), 841–842.</w:t>
      </w:r>
    </w:p>
    <w:bookmarkEnd w:id="186"/>
    <w:bookmarkStart w:id="187" w:name="ref-thorvaldsdottir2013integrative"/>
    <w:p>
      <w:pPr>
        <w:pStyle w:val="Bibliography"/>
      </w:pPr>
      <w:r>
        <w:t xml:space="preserve">(43)</w:t>
      </w:r>
      <w:r>
        <w:t xml:space="preserve"> </w:t>
      </w:r>
      <w:r>
        <w:t xml:space="preserve">	</w:t>
      </w:r>
      <w:r>
        <w:t xml:space="preserve">Thorvaldsdóttir, H.; Robinson, J. T.; Mesirov, J. P. Integrative Genomics Viewer (IGV): High-Performance Genomics Data Visualization and Exploration.</w:t>
      </w:r>
      <w:r>
        <w:t xml:space="preserve"> </w:t>
      </w:r>
      <w:r>
        <w:rPr>
          <w:iCs/>
          <w:i/>
        </w:rPr>
        <w:t xml:space="preserve">Briefings in bioinformatics</w:t>
      </w:r>
      <w:r>
        <w:t xml:space="preserve"> </w:t>
      </w:r>
      <w:r>
        <w:rPr>
          <w:bCs/>
          <w:b/>
        </w:rPr>
        <w:t xml:space="preserve">2013</w:t>
      </w:r>
      <w:r>
        <w:t xml:space="preserve">,</w:t>
      </w:r>
      <w:r>
        <w:t xml:space="preserve"> </w:t>
      </w:r>
      <w:r>
        <w:rPr>
          <w:iCs/>
          <w:i/>
        </w:rPr>
        <w:t xml:space="preserve">14</w:t>
      </w:r>
      <w:r>
        <w:t xml:space="preserve"> </w:t>
      </w:r>
      <w:r>
        <w:t xml:space="preserve">(2), 178–192.</w:t>
      </w:r>
    </w:p>
    <w:bookmarkEnd w:id="187"/>
    <w:bookmarkStart w:id="188" w:name="ref-merkel2014docker"/>
    <w:p>
      <w:pPr>
        <w:pStyle w:val="Bibliography"/>
      </w:pPr>
      <w:r>
        <w:t xml:space="preserve">(44)</w:t>
      </w:r>
      <w:r>
        <w:t xml:space="preserve"> </w:t>
      </w:r>
      <w:r>
        <w:t xml:space="preserve">	</w:t>
      </w:r>
      <w:r>
        <w:t xml:space="preserve">Merkel, D.; others. Docker: Lightweight Linux Containers for Consistent Development and Deployment.</w:t>
      </w:r>
      <w:r>
        <w:t xml:space="preserve"> </w:t>
      </w:r>
      <w:r>
        <w:rPr>
          <w:iCs/>
          <w:i/>
        </w:rPr>
        <w:t xml:space="preserve">Linux j</w:t>
      </w:r>
      <w:r>
        <w:t xml:space="preserve"> </w:t>
      </w:r>
      <w:r>
        <w:rPr>
          <w:bCs/>
          <w:b/>
        </w:rPr>
        <w:t xml:space="preserve">2014</w:t>
      </w:r>
      <w:r>
        <w:t xml:space="preserve">,</w:t>
      </w:r>
      <w:r>
        <w:t xml:space="preserve"> </w:t>
      </w:r>
      <w:r>
        <w:rPr>
          <w:iCs/>
          <w:i/>
        </w:rPr>
        <w:t xml:space="preserve">239</w:t>
      </w:r>
      <w:r>
        <w:t xml:space="preserve"> </w:t>
      </w:r>
      <w:r>
        <w:t xml:space="preserve">(2), 2.</w:t>
      </w:r>
    </w:p>
    <w:bookmarkEnd w:id="188"/>
    <w:bookmarkStart w:id="190" w:name="ref-Oxford_Nanopore_Technologies_2024"/>
    <w:p>
      <w:pPr>
        <w:pStyle w:val="Bibliography"/>
      </w:pPr>
      <w:r>
        <w:t xml:space="preserve">(45)</w:t>
      </w:r>
      <w:r>
        <w:t xml:space="preserve"> </w:t>
      </w:r>
      <w:r>
        <w:t xml:space="preserve">	</w:t>
      </w:r>
      <w:r>
        <w:t xml:space="preserve">Technologies, O. N. 2024.</w:t>
      </w:r>
      <w:r>
        <w:t xml:space="preserve"> </w:t>
      </w:r>
      <w:hyperlink r:id="rId189">
        <w:r>
          <w:rPr>
            <w:rStyle w:val="Hyperlink"/>
          </w:rPr>
          <w:t xml:space="preserve">https://nanoporetech.com/accuracy</w:t>
        </w:r>
      </w:hyperlink>
      <w:r>
        <w:t xml:space="preserve">.</w:t>
      </w:r>
    </w:p>
    <w:bookmarkEnd w:id="190"/>
    <w:bookmarkEnd w:id="191"/>
    <w:bookmarkEnd w:id="192"/>
    <w:bookmarkStart w:id="196" w:name="appendix"/>
    <w:p>
      <w:pPr>
        <w:pStyle w:val="Heading1"/>
      </w:pPr>
      <w:r>
        <w:t xml:space="preserve">Appendix</w:t>
      </w:r>
    </w:p>
    <w:p>
      <w:pPr>
        <w:pStyle w:val="CaptionedFigure"/>
      </w:pPr>
      <w:r>
        <w:drawing>
          <wp:inline>
            <wp:extent cx="5334000" cy="3002262"/>
            <wp:effectExtent b="0" l="0" r="0" t="0"/>
            <wp:docPr descr="A: Activity Bar showcasing the extensions installed locally. B: Primary Side Bar that displays the layout of files and Source code changes. C: Main window to edit markdown and jupyter notebook files. D: A Preview panel to view PDF and HTML files." title="" id="194" name="Picture"/>
            <a:graphic>
              <a:graphicData uri="http://schemas.openxmlformats.org/drawingml/2006/picture">
                <pic:pic>
                  <pic:nvPicPr>
                    <pic:cNvPr descr="chapters/images/VS_code.png" id="195" name="Picture"/>
                    <pic:cNvPicPr>
                      <a:picLocks noChangeArrowheads="1" noChangeAspect="1"/>
                    </pic:cNvPicPr>
                  </pic:nvPicPr>
                  <pic:blipFill>
                    <a:blip r:embed="rId193"/>
                    <a:stretch>
                      <a:fillRect/>
                    </a:stretch>
                  </pic:blipFill>
                  <pic:spPr bwMode="auto">
                    <a:xfrm>
                      <a:off x="0" y="0"/>
                      <a:ext cx="5334000" cy="3002262"/>
                    </a:xfrm>
                    <a:prstGeom prst="rect">
                      <a:avLst/>
                    </a:prstGeom>
                    <a:noFill/>
                    <a:ln w="9525">
                      <a:noFill/>
                      <a:headEnd/>
                      <a:tailEnd/>
                    </a:ln>
                  </pic:spPr>
                </pic:pic>
              </a:graphicData>
            </a:graphic>
          </wp:inline>
        </w:drawing>
      </w:r>
    </w:p>
    <w:p>
      <w:pPr>
        <w:pStyle w:val="ImageCaption"/>
      </w:pPr>
      <w:r>
        <w:t xml:space="preserve">A: Activity Bar showcasing the extensions installed locally. B: Primary Side Bar that displays the layout of files and Source code changes. C: Main window to edit markdown and jupyter notebook files. D: A Preview panel to view PDF and HTML files.</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24">
    <w:nsid w:val="A9942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136" Target="media/rId136.png" /><Relationship Type="http://schemas.openxmlformats.org/officeDocument/2006/relationships/image" Id="rId193" Target="media/rId193.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36" Target="media/rId36.png" /><Relationship Type="http://schemas.openxmlformats.org/officeDocument/2006/relationships/image" Id="rId74" Target="media/rId74.png" /><Relationship Type="http://schemas.openxmlformats.org/officeDocument/2006/relationships/image" Id="rId69" Target="media/rId69.png" /><Relationship Type="http://schemas.openxmlformats.org/officeDocument/2006/relationships/image" Id="rId93" Target="media/rId93.png" /><Relationship Type="http://schemas.openxmlformats.org/officeDocument/2006/relationships/image" Id="rId87" Target="media/rId87.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hyperlink" Id="rId68" Target="@fig-dmpr_signal%20A" TargetMode="External" /><Relationship Type="http://schemas.openxmlformats.org/officeDocument/2006/relationships/hyperlink" Id="rId126" Target="http://223.130.146.86:8088/" TargetMode="External" /><Relationship Type="http://schemas.openxmlformats.org/officeDocument/2006/relationships/hyperlink" Id="rId150" Target="https://doi.org/10.1038/d41586-018-05895-3" TargetMode="External" /><Relationship Type="http://schemas.openxmlformats.org/officeDocument/2006/relationships/hyperlink" Id="rId157" Target="https://doi.org/10.34190/iccws.17.1.35" TargetMode="External" /><Relationship Type="http://schemas.openxmlformats.org/officeDocument/2006/relationships/hyperlink" Id="rId56" Target="https://facsvisualization.streamlit.app/" TargetMode="External" /><Relationship Type="http://schemas.openxmlformats.org/officeDocument/2006/relationships/hyperlink" Id="rId155" Target="https://github.com/ImperialCollegeLondon/2020-07-13-Containers-Online/tree/gh-pages?tab=readme-ov-file" TargetMode="External" /><Relationship Type="http://schemas.openxmlformats.org/officeDocument/2006/relationships/hyperlink" Id="rId44" Target="https://github.com/aputron/streamlitapps/tree/main" TargetMode="External" /><Relationship Type="http://schemas.openxmlformats.org/officeDocument/2006/relationships/hyperlink" Id="rId164" Target="https://github.com/keller-mark/awesome-biological-visualizations" TargetMode="External" /><Relationship Type="http://schemas.openxmlformats.org/officeDocument/2006/relationships/hyperlink" Id="rId39" Target="https://insilicomutantlib.streamlit.app/" TargetMode="External" /><Relationship Type="http://schemas.openxmlformats.org/officeDocument/2006/relationships/hyperlink" Id="rId58" Target="https://libraryanalysis.streamlit.app/" TargetMode="External" /><Relationship Type="http://schemas.openxmlformats.org/officeDocument/2006/relationships/hyperlink" Id="rId41" Target="https://mutprimergen.streamlit.app/" TargetMode="External" /><Relationship Type="http://schemas.openxmlformats.org/officeDocument/2006/relationships/hyperlink" Id="rId189" Target="https://nanoporetech.com/accuracy" TargetMode="External" /><Relationship Type="http://schemas.openxmlformats.org/officeDocument/2006/relationships/hyperlink" Id="rId21" Target="https://www.cowen.com/transactions/amyris-inc-6-4-2020/" TargetMode="External" /><Relationship Type="http://schemas.openxmlformats.org/officeDocument/2006/relationships/hyperlink" Id="rId153" Target="https://www.idtdna.com/pages/community/blog/post/thinking-about-making-the-switch-to-an-electronic-lab-notebook-here-are-some-pros-and-cons" TargetMode="External" /></Relationships>
</file>

<file path=word/_rels/footnotes.xml.rels><?xml version="1.0" encoding="UTF-8"?><Relationships xmlns="http://schemas.openxmlformats.org/package/2006/relationships"><Relationship Type="http://schemas.openxmlformats.org/officeDocument/2006/relationships/hyperlink" Id="rId68" Target="@fig-dmpr_signal%20A" TargetMode="External" /><Relationship Type="http://schemas.openxmlformats.org/officeDocument/2006/relationships/hyperlink" Id="rId126" Target="http://223.130.146.86:8088/" TargetMode="External" /><Relationship Type="http://schemas.openxmlformats.org/officeDocument/2006/relationships/hyperlink" Id="rId150" Target="https://doi.org/10.1038/d41586-018-05895-3" TargetMode="External" /><Relationship Type="http://schemas.openxmlformats.org/officeDocument/2006/relationships/hyperlink" Id="rId157" Target="https://doi.org/10.34190/iccws.17.1.35" TargetMode="External" /><Relationship Type="http://schemas.openxmlformats.org/officeDocument/2006/relationships/hyperlink" Id="rId56" Target="https://facsvisualization.streamlit.app/" TargetMode="External" /><Relationship Type="http://schemas.openxmlformats.org/officeDocument/2006/relationships/hyperlink" Id="rId155" Target="https://github.com/ImperialCollegeLondon/2020-07-13-Containers-Online/tree/gh-pages?tab=readme-ov-file" TargetMode="External" /><Relationship Type="http://schemas.openxmlformats.org/officeDocument/2006/relationships/hyperlink" Id="rId44" Target="https://github.com/aputron/streamlitapps/tree/main" TargetMode="External" /><Relationship Type="http://schemas.openxmlformats.org/officeDocument/2006/relationships/hyperlink" Id="rId164" Target="https://github.com/keller-mark/awesome-biological-visualizations" TargetMode="External" /><Relationship Type="http://schemas.openxmlformats.org/officeDocument/2006/relationships/hyperlink" Id="rId39" Target="https://insilicomutantlib.streamlit.app/" TargetMode="External" /><Relationship Type="http://schemas.openxmlformats.org/officeDocument/2006/relationships/hyperlink" Id="rId58" Target="https://libraryanalysis.streamlit.app/" TargetMode="External" /><Relationship Type="http://schemas.openxmlformats.org/officeDocument/2006/relationships/hyperlink" Id="rId41" Target="https://mutprimergen.streamlit.app/" TargetMode="External" /><Relationship Type="http://schemas.openxmlformats.org/officeDocument/2006/relationships/hyperlink" Id="rId189" Target="https://nanoporetech.com/accuracy" TargetMode="External" /><Relationship Type="http://schemas.openxmlformats.org/officeDocument/2006/relationships/hyperlink" Id="rId21" Target="https://www.cowen.com/transactions/amyris-inc-6-4-2020/" TargetMode="External" /><Relationship Type="http://schemas.openxmlformats.org/officeDocument/2006/relationships/hyperlink" Id="rId153" Target="https://www.idtdna.com/pages/community/blog/post/thinking-about-making-the-switch-to-an-electronic-lab-notebook-here-are-some-pros-and-c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Computational Approaches to Biofoundry-based Protein Engineering and Synthetic Biology</dc:title>
  <dc:creator>Aporva Gupta</dc:creator>
  <cp:keywords/>
  <dcterms:created xsi:type="dcterms:W3CDTF">2024-11-04T06:46:38Z</dcterms:created>
  <dcterms:modified xsi:type="dcterms:W3CDTF">2024-11-04T06:46:38Z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american-chemical-society.csl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pseudocode">
    <vt:lpwstr/>
  </property>
  <property fmtid="{D5CDD505-2E9C-101B-9397-08002B2CF9AE}" pid="14" name="template-partials">
    <vt:lpwstr/>
  </property>
  <property fmtid="{D5CDD505-2E9C-101B-9397-08002B2CF9AE}" pid="15" name="toc-title">
    <vt:lpwstr>Table of contents</vt:lpwstr>
  </property>
</Properties>
</file>