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118.png" ContentType="image/png"/>
  <Override PartName="/word/media/rId39.png" ContentType="image/png"/>
  <Override PartName="/word/media/rId45.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Computational</w:t>
      </w:r>
      <w:r>
        <w:t xml:space="preserve"> </w:t>
      </w:r>
      <w:r>
        <w:t xml:space="preserve">Approaches</w:t>
      </w:r>
      <w:r>
        <w:t xml:space="preserve"> </w:t>
      </w:r>
      <w:r>
        <w:t xml:space="preserve">to</w:t>
      </w:r>
      <w:r>
        <w:t xml:space="preserve"> </w:t>
      </w:r>
      <w:r>
        <w:t xml:space="preserve">Biofoundry-based</w:t>
      </w:r>
      <w:r>
        <w:t xml:space="preserve"> </w:t>
      </w:r>
      <w:r>
        <w:t xml:space="preserve">Protein</w:t>
      </w:r>
      <w:r>
        <w:t xml:space="preserve"> </w:t>
      </w:r>
      <w:r>
        <w:t xml:space="preserve">Engineering</w:t>
      </w:r>
      <w:r>
        <w:t xml:space="preserve"> </w:t>
      </w:r>
      <w:r>
        <w:t xml:space="preserve">and</w:t>
      </w:r>
      <w:r>
        <w:t xml:space="preserve"> </w:t>
      </w:r>
      <w:r>
        <w:t xml:space="preserve">Synthetic</w:t>
      </w:r>
      <w:r>
        <w:t xml:space="preserve"> </w:t>
      </w:r>
      <w:r>
        <w:t xml:space="preserve">Biology</w:t>
      </w:r>
    </w:p>
    <w:p>
      <w:pPr>
        <w:pStyle w:val="Author"/>
      </w:pPr>
      <w:r>
        <w:t xml:space="preserve">Aporva</w:t>
      </w:r>
      <w:r>
        <w:t xml:space="preserve"> </w:t>
      </w:r>
      <w:r>
        <w:t xml:space="preserve">Gupta</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20" w:name="abstract"/>
    <w:p>
      <w:pPr>
        <w:pStyle w:val="Heading1"/>
      </w:pPr>
      <w:r>
        <w:t xml:space="preserve">Abstract</w:t>
      </w:r>
    </w:p>
    <w:p>
      <w:pPr>
        <w:pStyle w:val="FirstParagraph"/>
      </w:pPr>
      <w:r>
        <w:t xml:space="preserve">#TODO</w:t>
      </w:r>
    </w:p>
    <w:bookmarkEnd w:id="20"/>
    <w:bookmarkStart w:id="29" w:name="introduction"/>
    <w:p>
      <w:pPr>
        <w:pStyle w:val="Heading1"/>
      </w:pPr>
      <w:r>
        <w:t xml:space="preserve">1. Introduction</w:t>
      </w:r>
    </w:p>
    <w:bookmarkStart w:id="22" w:name="purpose-of-thesis"/>
    <w:p>
      <w:pPr>
        <w:pStyle w:val="Heading2"/>
      </w:pPr>
      <w:r>
        <w:t xml:space="preserve">1.1 Purpose of thesis</w:t>
      </w:r>
    </w:p>
    <w:p>
      <w:pPr>
        <w:pStyle w:val="FirstParagraph"/>
      </w:pPr>
      <w:r>
        <w:t xml:space="preserve">The rapid evolution of synthetic biology and protein engineering has positioned biofoundries, automated laboratories for biological construction and analysis, as critical players in biotechnological innovation. As the integration of computational approaches with experimental methodologies becomes increasingly pivotal, this thesis seeks to bridge the gap between experimental strategies, computational techniques, and practical application in the biofoundry setting, enabling the efficient and scalable creation of novel proteins and synthetic biological systems. However, despite the potential of these technologies, several challenges remain. The complexity of biological systems, coupled with the diversity of potential protein structures and functions, makes traditional experimental approaches labor-intensive and often inefficient for data collection. Consequently, there is a pressing need for robust computational frameworks that can complement biofoundry operations, guiding the design process and reducing the trial-and-error inherent in protein engineering.</w:t>
      </w:r>
    </w:p>
    <w:bookmarkStart w:id="21" w:name="objectives-of-the-thesis"/>
    <w:p>
      <w:pPr>
        <w:pStyle w:val="Heading3"/>
      </w:pPr>
      <w:r>
        <w:t xml:space="preserve">1.1.1 Objectives of the Thesis</w:t>
      </w:r>
    </w:p>
    <w:p>
      <w:pPr>
        <w:pStyle w:val="FirstParagraph"/>
      </w:pPr>
      <w:r>
        <w:t xml:space="preserve">This thesis has several key objectives:</w:t>
      </w:r>
    </w:p>
    <w:p>
      <w:pPr>
        <w:pStyle w:val="BodyText"/>
      </w:pPr>
      <w:r>
        <w:t xml:space="preserve">1. Designing effective experimental strategies: To develop reproducible, standardized, and data centric experimental methods to facilitate integration of computational tools and models for the same. Most current computational models make use of publicly available data is subject to high attrition rate due to publication survior bias, and often don’t work with sufficient experimental negative data. It is important to design experiments that maximizes the amount of data collected without compromising on quality.</w:t>
      </w:r>
    </w:p>
    <w:p>
      <w:pPr>
        <w:numPr>
          <w:ilvl w:val="0"/>
          <w:numId w:val="1001"/>
        </w:numPr>
      </w:pPr>
      <w:r>
        <w:t xml:space="preserve">Artificial Intelligence Applications: To explore the use of artificial intelligence algorithms in analyzing large datasets generated from high-throughput techniques. By employing techniques such as deep learning, to uncover hidden patterns and correlations that can inform the design of novel proteins with desirable properties.</w:t>
      </w:r>
    </w:p>
    <w:p>
      <w:pPr>
        <w:numPr>
          <w:ilvl w:val="0"/>
          <w:numId w:val="1001"/>
        </w:numPr>
      </w:pPr>
      <w:r>
        <w:t xml:space="preserve">Integration of High-Throughput Tools, Computational Models and Biofoundries: To develop and validate computational models and experimental tools that can predict biosensor/protein/DNA activity, stability, and function based on sequence data. By integrating these tools into biofoundry workflows, the design process can be streamlined, predictability of outcomes are improved, and accessible to other biofoundries.</w:t>
      </w:r>
    </w:p>
    <w:p>
      <w:pPr>
        <w:numPr>
          <w:ilvl w:val="0"/>
          <w:numId w:val="1001"/>
        </w:numPr>
      </w:pPr>
      <w:r>
        <w:t xml:space="preserve">Optimization of Biosensor Activity: To utilize high-throughput experimental and computational tools to optimize various parameters in a sensor protein’s activity, such as signal and background. </w:t>
      </w:r>
    </w:p>
    <w:p>
      <w:pPr>
        <w:pStyle w:val="FirstParagraph"/>
      </w:pPr>
      <w:r>
        <w:t xml:space="preserve">Objectives</w:t>
      </w:r>
    </w:p>
    <w:p>
      <w:pPr>
        <w:numPr>
          <w:ilvl w:val="0"/>
          <w:numId w:val="1002"/>
        </w:numPr>
        <w:pStyle w:val="Compact"/>
      </w:pPr>
      <w:r>
        <w:t xml:space="preserve">Gaps in Biofoundry</w:t>
      </w:r>
    </w:p>
    <w:p>
      <w:pPr>
        <w:numPr>
          <w:ilvl w:val="0"/>
          <w:numId w:val="1002"/>
        </w:numPr>
        <w:pStyle w:val="Compact"/>
      </w:pPr>
      <w:r>
        <w:t xml:space="preserve">Data Collection SOP for Protein Engineering</w:t>
      </w:r>
    </w:p>
    <w:p>
      <w:pPr>
        <w:numPr>
          <w:ilvl w:val="0"/>
          <w:numId w:val="1002"/>
        </w:numPr>
        <w:pStyle w:val="Compact"/>
      </w:pPr>
      <w:r>
        <w:t xml:space="preserve">High-throughput identification of sequences</w:t>
      </w:r>
    </w:p>
    <w:p>
      <w:pPr>
        <w:numPr>
          <w:ilvl w:val="0"/>
          <w:numId w:val="1002"/>
        </w:numPr>
        <w:pStyle w:val="Compact"/>
      </w:pPr>
      <w:r>
        <w:t xml:space="preserve">Extension of protein engineering.</w:t>
      </w:r>
    </w:p>
    <w:bookmarkEnd w:id="21"/>
    <w:bookmarkEnd w:id="22"/>
    <w:bookmarkStart w:id="23" w:name="anticipated-benefit-to-the-field"/>
    <w:p>
      <w:pPr>
        <w:pStyle w:val="Heading2"/>
      </w:pPr>
      <w:r>
        <w:t xml:space="preserve">1.2 Anticipated Benefit to the Field</w:t>
      </w:r>
    </w:p>
    <w:p>
      <w:pPr>
        <w:pStyle w:val="FirstParagraph"/>
      </w:pPr>
      <w:r>
        <w:t xml:space="preserve">The integration of computational approaches with biofoundry technologies in protein engineering and synthetic biology holds significant promise for advancing the field:</w:t>
      </w:r>
    </w:p>
    <w:p>
      <w:pPr>
        <w:pStyle w:val="BodyText"/>
      </w:pPr>
      <w:r>
        <w:t xml:space="preserve">1. Enhanced Efficiency in Protein Design</w:t>
      </w:r>
    </w:p>
    <w:p>
      <w:pPr>
        <w:pStyle w:val="BodyText"/>
      </w:pPr>
      <w:r>
        <w:t xml:space="preserve">By utilizing computational models, researchers can streamline the design process for engineered proteins. This leads to:</w:t>
      </w:r>
    </w:p>
    <w:p>
      <w:pPr>
        <w:pStyle w:val="BodyText"/>
      </w:pPr>
      <w:r>
        <w:t xml:space="preserve">•               Reduced Time and Costs: Computational predictions can minimize the need for extensive experimental iterations, significantly lowering the time and financial resources required for protein engineering projects.</w:t>
      </w:r>
    </w:p>
    <w:p>
      <w:pPr>
        <w:pStyle w:val="BodyText"/>
      </w:pPr>
      <w:r>
        <w:t xml:space="preserve">•               Higher Throughput: Biofoundries equipped with computational tools can operate at higher throughput, enabling the rapid testing of numerous protein variants and increasing overall productivity.</w:t>
      </w:r>
    </w:p>
    <w:p>
      <w:pPr>
        <w:pStyle w:val="BodyText"/>
      </w:pPr>
      <w:r>
        <w:t xml:space="preserve">2. Improved Accuracy and Predictability</w:t>
      </w:r>
    </w:p>
    <w:p>
      <w:pPr>
        <w:pStyle w:val="BodyText"/>
      </w:pPr>
      <w:r>
        <w:t xml:space="preserve">Artificial intelligence can enhance the accuracy of protein engineering efforts:</w:t>
      </w:r>
    </w:p>
    <w:p>
      <w:pPr>
        <w:pStyle w:val="BodyText"/>
      </w:pPr>
      <w:r>
        <w:t xml:space="preserve">•               Better Predictions: Advanced algorithms such as Deep Learning can infer patterns between genotype and phenotypes more reliably, resulting in engineered proteins that are more likely to function as intended.</w:t>
      </w:r>
    </w:p>
    <w:p>
      <w:pPr>
        <w:pStyle w:val="BodyText"/>
      </w:pPr>
      <w:r>
        <w:t xml:space="preserve">•               Optimized Parameters: With enhanced datasets and models, multiple independent parameters can be targetted simultaneously to provide a rare, yet ideal candidate.</w:t>
      </w:r>
    </w:p>
    <w:p>
      <w:pPr>
        <w:pStyle w:val="BodyText"/>
      </w:pPr>
      <w:r>
        <w:t xml:space="preserve">3. Accelerated Innovation in Applications</w:t>
      </w:r>
    </w:p>
    <w:p>
      <w:pPr>
        <w:pStyle w:val="BodyText"/>
      </w:pPr>
      <w:r>
        <w:t xml:space="preserve">The combination of computational methods and biofoundries fosters innovation across various applications:</w:t>
      </w:r>
    </w:p>
    <w:p>
      <w:pPr>
        <w:pStyle w:val="BodyText"/>
      </w:pPr>
      <w:r>
        <w:t xml:space="preserve">•               Biosensors and Diagnostics: The development of novel biosensors using engineered proteins can lead to rapid, accurate diagnostic tools for environmental and health monitoring.</w:t>
      </w:r>
    </w:p>
    <w:p>
      <w:pPr>
        <w:pStyle w:val="BodyText"/>
      </w:pPr>
      <w:r>
        <w:t xml:space="preserve">•               Bioremediation Solutions: Engineered proteins can be designed for environmental cleanup, addressing issues such as plastic degradation and waste management.</w:t>
      </w:r>
    </w:p>
    <w:p>
      <w:pPr>
        <w:pStyle w:val="BodyText"/>
      </w:pPr>
      <w:r>
        <w:t xml:space="preserve">•               Therapeutics Development: Accelerated discovery of large therapeutic proteins and antibodies can address urgent healthcare needs, such as in the development of vaccines and biologics.</w:t>
      </w:r>
    </w:p>
    <w:p>
      <w:pPr>
        <w:pStyle w:val="BodyText"/>
      </w:pPr>
      <w:r>
        <w:t xml:space="preserve">•               Industrial Enzyme Engineering: Enhanced enzyme design for industrial processes can lead to more efficient manufacturing methods, reducing waste and energy consumption.</w:t>
      </w:r>
    </w:p>
    <w:p>
      <w:pPr>
        <w:pStyle w:val="BodyText"/>
      </w:pPr>
      <w:r>
        <w:t xml:space="preserve">4. Data-Driven Insights and Machine Learning Advancements</w:t>
      </w:r>
    </w:p>
    <w:p>
      <w:pPr>
        <w:pStyle w:val="BodyText"/>
      </w:pPr>
      <w:r>
        <w:t xml:space="preserve">The integration of machine learning in analyzing biofoundry data provides several advantages:</w:t>
      </w:r>
    </w:p>
    <w:p>
      <w:pPr>
        <w:pStyle w:val="BodyText"/>
      </w:pPr>
      <w:r>
        <w:t xml:space="preserve">•               Discovery of Patterns: Deep learning can uncover hidden patterns and correlations in large datasets, leading to insights that inform better design strategies and optimization processes.</w:t>
      </w:r>
    </w:p>
    <w:p>
      <w:pPr>
        <w:pStyle w:val="BodyText"/>
      </w:pPr>
      <w:r>
        <w:t xml:space="preserve">•               Adaptive Learning: Continuous learning from experimental data allows for the refinement of computational models, making them increasingly accurate over time.</w:t>
      </w:r>
    </w:p>
    <w:p>
      <w:pPr>
        <w:pStyle w:val="BodyText"/>
      </w:pPr>
      <w:r>
        <w:t xml:space="preserve">5. Interdisciplinary Collaboration</w:t>
      </w:r>
    </w:p>
    <w:p>
      <w:pPr>
        <w:pStyle w:val="BodyText"/>
      </w:pPr>
      <w:r>
        <w:t xml:space="preserve">The convergence of computational techniques and biofoundry technologies encourages collaboration across disciplines:</w:t>
      </w:r>
    </w:p>
    <w:p>
      <w:pPr>
        <w:pStyle w:val="BodyText"/>
      </w:pPr>
      <w:r>
        <w:t xml:space="preserve">•               Cross-Disciplinary Research: Scientists from diverse fields—such as bioinformatics, molecular biology, and engineering—can collaborate to tackle complex challenges, leading to innovative solutions and broader perspectives.</w:t>
      </w:r>
    </w:p>
    <w:p>
      <w:pPr>
        <w:pStyle w:val="BodyText"/>
      </w:pPr>
      <w:r>
        <w:t xml:space="preserve">•               Training and Skill Development: The demand for expertise in computational biology and biofoundry technologies can enhance educational programs and training initiatives, preparing the next generation of scientists and engineers.</w:t>
      </w:r>
    </w:p>
    <w:bookmarkEnd w:id="23"/>
    <w:bookmarkStart w:id="27" w:name="case-study-protein-engineering-stack"/>
    <w:p>
      <w:pPr>
        <w:pStyle w:val="Heading2"/>
      </w:pPr>
      <w:r>
        <w:t xml:space="preserve">1.3 Case study: Protein Engineering Stack</w:t>
      </w:r>
    </w:p>
    <w:p>
      <w:pPr>
        <w:pStyle w:val="FirstParagraph"/>
      </w:pPr>
      <w:r>
        <w:drawing>
          <wp:inline>
            <wp:extent cx="5334000" cy="4768596"/>
            <wp:effectExtent b="0" l="0" r="0" t="0"/>
            <wp:docPr descr="" title="" id="25" name="Picture"/>
            <a:graphic>
              <a:graphicData uri="http://schemas.openxmlformats.org/drawingml/2006/picture">
                <pic:pic>
                  <pic:nvPicPr>
                    <pic:cNvPr descr="chapters/images/HiAPE.png" id="26" name="Picture"/>
                    <pic:cNvPicPr>
                      <a:picLocks noChangeArrowheads="1" noChangeAspect="1"/>
                    </pic:cNvPicPr>
                  </pic:nvPicPr>
                  <pic:blipFill>
                    <a:blip r:embed="rId24"/>
                    <a:stretch>
                      <a:fillRect/>
                    </a:stretch>
                  </pic:blipFill>
                  <pic:spPr bwMode="auto">
                    <a:xfrm>
                      <a:off x="0" y="0"/>
                      <a:ext cx="5334000" cy="4768596"/>
                    </a:xfrm>
                    <a:prstGeom prst="rect">
                      <a:avLst/>
                    </a:prstGeom>
                    <a:noFill/>
                    <a:ln w="9525">
                      <a:noFill/>
                      <a:headEnd/>
                      <a:tailEnd/>
                    </a:ln>
                  </pic:spPr>
                </pic:pic>
              </a:graphicData>
            </a:graphic>
          </wp:inline>
        </w:drawing>
      </w:r>
    </w:p>
    <w:p>
      <w:pPr>
        <w:pStyle w:val="BodyText"/>
      </w:pPr>
      <w:r>
        <w:t xml:space="preserve">This thesis focuses on the development of workflows and software tools with a focus on protein engineering.</w:t>
      </w:r>
    </w:p>
    <w:bookmarkEnd w:id="27"/>
    <w:bookmarkStart w:id="28" w:name="section"/>
    <w:p>
      <w:pPr>
        <w:pStyle w:val="Heading2"/>
      </w:pPr>
      <w:r>
        <w:t xml:space="preserve">1.4</w:t>
      </w:r>
      <w:r>
        <w:t xml:space="preserve"> </w:t>
      </w:r>
    </w:p>
    <w:bookmarkEnd w:id="28"/>
    <w:bookmarkEnd w:id="29"/>
    <w:bookmarkStart w:id="66" w:name="X27aee4e3756165a7a33bb902bebf9bf41e4751c"/>
    <w:p>
      <w:pPr>
        <w:pStyle w:val="Heading1"/>
      </w:pPr>
      <w:r>
        <w:t xml:space="preserve">2. Computational Tools for Streamlined Biofoundry Workflows</w:t>
      </w:r>
    </w:p>
    <w:bookmarkStart w:id="30" w:name="introduction-1"/>
    <w:p>
      <w:pPr>
        <w:pStyle w:val="Heading2"/>
      </w:pPr>
      <w:r>
        <w:t xml:space="preserve">2.1 Introduction</w:t>
      </w:r>
    </w:p>
    <w:p>
      <w:pPr>
        <w:pStyle w:val="FirstParagraph"/>
      </w:pPr>
      <w:r>
        <w:t xml:space="preserve">The Design-Build-Test-Learn (DBTL) cycle, a foundational methodology of synthetic biology, adopts engineering principles to enhance reproducibility and efficiency in biological research. Yet, the Build and Test phases pose considerable challenges to their labor-intensive and time-consuming nature. For instance, the assembly of three DNA fragments often requires a week per circuit assembly by a skilled graduate student. Furthermore, optimizing the expression of a gene with promoters, RBSs, and terminator parts - three different types for each – necessitates creating and testing 27 distinct DNA combinations. This process could extend a graduate student’s workload to four to six months for the construction of an optimal genetic circuit.</w:t>
      </w:r>
    </w:p>
    <w:p>
      <w:pPr>
        <w:pStyle w:val="BodyText"/>
      </w:pPr>
      <w:r>
        <w:t xml:space="preserve">On an industrial scale, the Build and Test stages present similarly formidable challenges. The development and commercialization of Artemisinin, a treatment for malaria by Amyris, demanded an investment of $15 million and ten years, equivalent to roughly 150 person-years. Similarly, DuPont’s production of 1,3-propanediol required 575 person-years, highlighting the extensive resource commitment in synthetic biology projects [1]. These instances underline the significant time and labor investments needed to harness the benefits of synthetic biology, explaining why the field, which emerged in the early 2000s, took about a decade to prove its value.</w:t>
      </w:r>
    </w:p>
    <w:p>
      <w:pPr>
        <w:pStyle w:val="BodyText"/>
      </w:pPr>
      <w:r>
        <w:t xml:space="preserve">The incorporation of robotics into biology has significantly reduced the manual labor and time constraints traditionally associated with biological experiments. This advancement was pioneered by Dr. Ross D. King in 2004 [2], who developed the robotic scientists Adam and Eve to autonomously investigate yeast metabolism and enzyme discovery [3]. Despite their innovative potential, the application of these robotic scientists has faced limitations due to the need for specialized automation equipment tailored for specific research projects. This requirement often limits the flexibility needed to conduct a wide array of complex biological experiments, leading to significant costs and efforts to adapt commercial equipment for various research needs.</w:t>
      </w:r>
    </w:p>
    <w:p>
      <w:pPr>
        <w:pStyle w:val="BodyText"/>
      </w:pPr>
      <w:r>
        <w:t xml:space="preserve">However, the fundamental principles of synthetic biology, including standardized parts, assembly techniques, and an engineering-focused DBTL strategy, have demonstrated significant compatibility with automation and robotics. This synergy has not only enhanced research but also found practical industrial applications. A notable example is Lanzatech’s production of ethanol from greenhouse gases using its clostridiaBiofoundry (cBioFab) [4], which combines cell-free systems with machine learning technology to achieve remarkable industrial breakthroughs [5, 6] in producing 1-hexanol and hexanoic acid (&gt;100x improvement).</w:t>
      </w:r>
    </w:p>
    <w:p>
      <w:pPr>
        <w:pStyle w:val="BodyText"/>
      </w:pPr>
      <w:r>
        <w:t xml:space="preserve">A biofoundry integrates the entire DBTL cycle, from initial DNA design to testing cells modified with that DNA, by systematically linking automated hardware and software to streamline the process from gene synthesis to the final product. A key strategy in constructing an efficient biofoundry is the careful design of each DBTL stage to ensure seamless operation and eliminate bottlenecks, significantly improving development speed and throughput. For instance, Ginkgo Bioworks has shown considerable efficiency gains, with its throughput increasing two to four times annually between 2014 and 2020. In 2017, the company achieved a milestone when the cost of testing per strain became lower than that of manual handling [7]. Amyris, having launched its biofoundry in 2011, has successfully commercialized 15 new substances at a consistent rate over the last seven years [8], marking a productivity increase of more than twentyfold compared to its earlier efforts with Artemisinin. These developments underscore the transformative impact of biofoundries on synthetic biology, providing scalable and cost-efficient solutions for bioproduct development. By optimizing the bioproduct development process, biofoundries substantially reduce the time and cost associated with bringing new products to market, representing a significant advancement in biotechnological innovation.</w:t>
      </w:r>
    </w:p>
    <w:bookmarkEnd w:id="30"/>
    <w:bookmarkStart w:id="36" w:name="X31d2513e6f971bdb9de651084771213c25ba8bf"/>
    <w:p>
      <w:pPr>
        <w:pStyle w:val="Heading2"/>
      </w:pPr>
      <w:r>
        <w:t xml:space="preserve">2.2 Considerations required for biofoundry development</w:t>
      </w:r>
    </w:p>
    <w:bookmarkStart w:id="31" w:name="hardware"/>
    <w:p>
      <w:pPr>
        <w:pStyle w:val="Heading3"/>
      </w:pPr>
      <w:r>
        <w:t xml:space="preserve">2.2.1 Hardware</w:t>
      </w:r>
    </w:p>
    <w:p>
      <w:pPr>
        <w:pStyle w:val="FirstParagraph"/>
      </w:pPr>
      <w:r>
        <w:t xml:space="preserve">The concept of a biofoundry often evokes images of automated robotics operating within a biological laboratory. Given this association, automation is deemed essential for the development of biofoundries. However, the deployment of advanced automation machinery, including robotic arms, in fully automated biofoundries requires careful attention to planning. While devices like liquid handlers are crucial for high-throughput well plate-based experiments, incorporating robotic arms with other automated devices, such as automated thermal cyclers or automated incubators, significantly raises both initial and ongoing maintenance costs. Adopting a semi-automated DBTL cycle is one of the strategies that offer maximum flexibility at minimal cost.</w:t>
      </w:r>
    </w:p>
    <w:p>
      <w:pPr>
        <w:pStyle w:val="BodyText"/>
      </w:pPr>
      <w:r>
        <w:t xml:space="preserve">Currently, the availability of automated equipment is restricted to a handful of global companies. To broaden the options for users and ensure the provision of high-quality services, ongoing development of such equipment is essential. This necessitates long-term and continuous investment, supported by governmental policies, especially given the current limited market availability. The emphasis in hardware development should be on enhancing the connectivity and flexibility of devices to boost the overall efficiency of the DBTL cycle, rather than focusing solely on individual device specifications.</w:t>
      </w:r>
    </w:p>
    <w:p>
      <w:pPr>
        <w:pStyle w:val="BodyText"/>
      </w:pPr>
      <w:r>
        <w:t xml:space="preserve">Furthermore, an increase in hardware throughput does not guarantee an improvement in overall biofoundry performance. One of the major reasons automated equipment may remain underutilized or idle in universities or research institutions is that data management and analysis are failed to keep pace with the hardware’s throughput. In this context, the workflows and software discussed in the subsequent chapters are pivotal considerations prior to hardware deployment.</w:t>
      </w:r>
    </w:p>
    <w:bookmarkEnd w:id="31"/>
    <w:bookmarkStart w:id="32" w:name="workflows"/>
    <w:p>
      <w:pPr>
        <w:pStyle w:val="Heading3"/>
      </w:pPr>
      <w:r>
        <w:t xml:space="preserve">2.2.2 Workflows</w:t>
      </w:r>
    </w:p>
    <w:p>
      <w:pPr>
        <w:pStyle w:val="FirstParagraph"/>
      </w:pPr>
      <w:r>
        <w:t xml:space="preserve">Before delving further into biofoundry development, it’s necessary to define some key terms associated with biofoundry operation for ease of understanding. We introduce two fundamental terms:</w:t>
      </w:r>
      <w:r>
        <w:t xml:space="preserve"> </w:t>
      </w:r>
      <w:r>
        <w:t xml:space="preserve">‘</w:t>
      </w:r>
      <w:r>
        <w:t xml:space="preserve">workflow</w:t>
      </w:r>
      <w:r>
        <w:t xml:space="preserve">’</w:t>
      </w:r>
      <w:r>
        <w:t xml:space="preserve"> </w:t>
      </w:r>
      <w:r>
        <w:t xml:space="preserve">and</w:t>
      </w:r>
      <w:r>
        <w:t xml:space="preserve"> </w:t>
      </w:r>
      <w:r>
        <w:t xml:space="preserve">‘</w:t>
      </w:r>
      <w:r>
        <w:t xml:space="preserve">unit process.</w:t>
      </w:r>
      <w:r>
        <w:t xml:space="preserve">’</w:t>
      </w:r>
      <w:r>
        <w:t xml:space="preserve"> </w:t>
      </w:r>
      <w:r>
        <w:t xml:space="preserve">A unit process is the smallest protocol executed by an automated machine, while a workflow is a sequence of unit processes organized to produce a desired product. The terms</w:t>
      </w:r>
      <w:r>
        <w:t xml:space="preserve"> </w:t>
      </w:r>
      <w:r>
        <w:t xml:space="preserve">‘</w:t>
      </w:r>
      <w:r>
        <w:t xml:space="preserve">protocol</w:t>
      </w:r>
      <w:r>
        <w:t xml:space="preserve">’</w:t>
      </w:r>
      <w:r>
        <w:t xml:space="preserve"> </w:t>
      </w:r>
      <w:r>
        <w:t xml:space="preserve">and</w:t>
      </w:r>
      <w:r>
        <w:t xml:space="preserve"> </w:t>
      </w:r>
      <w:r>
        <w:t xml:space="preserve">‘</w:t>
      </w:r>
      <w:r>
        <w:t xml:space="preserve">process</w:t>
      </w:r>
      <w:r>
        <w:t xml:space="preserve">’</w:t>
      </w:r>
      <w:r>
        <w:t xml:space="preserve"> </w:t>
      </w:r>
      <w:r>
        <w:t xml:space="preserve">are employed broadly. Both unit processes and workflows can be formulated as standard operating procedures (SOPs) which are detailed instructions designed to standardize and enhance the reproducibility of operations.</w:t>
      </w:r>
    </w:p>
    <w:p>
      <w:pPr>
        <w:pStyle w:val="BodyText"/>
      </w:pPr>
      <w:r>
        <w:t xml:space="preserve">In constructing a biofoundry, workflows are developed by re-optimizing established manual protocols. Manual protocols frequently overlook or oversimplify sample preparation, deemed apparent. Conversely, automated protocols demand more detailed specifications, including the quantity, position, and handing of reagents and equipment, especially when using multi-well plates.</w:t>
      </w:r>
    </w:p>
    <w:p>
      <w:pPr>
        <w:pStyle w:val="BodyText"/>
      </w:pPr>
      <w:r>
        <w:t xml:space="preserve">Developing a workflow involves assessing the level of automation feasible with the available equipment and consumables. The initial level may resemble manual operations, progressing to the use of liquid handlers capable of managing experiments based on 96 or 384-well plates. Utilizing high-throughput equipment not only enhances experiment throughput but also improves reproducibility. Establishing quantitatively measurable metrics within the tier system is crucial for ensuring the reliability and interoperability of workflows.</w:t>
      </w:r>
    </w:p>
    <w:p>
      <w:pPr>
        <w:pStyle w:val="BodyText"/>
      </w:pPr>
      <w:r>
        <w:t xml:space="preserve">To enhance a biofoundry’s efficiency, it’s essential to reduce the operational costs associated with workflows and enable the simultaneous running of multiple workflows, which is key to maximizing efficiency and productivity. This challenge can be tackled in two ways. One approach is consolidating samples onto a single plate when different researchers request the same workflow. Alternatively, when different workflows are requested, they can be integrated by considering the run times of each unit process and scheduled as a single workflow. These scheduling strategies, more suitable for semi-automated biofoundries, are essential for enhancing biofoundry performance, given the limited number of machines. Additionally, waste in research, often due to avoidable design flaws or incomplete experiments, is a significant concern. Over 50% of research remains unpublished, half of which is attributable to preventable errors [9]. An integrated biofoundry can minimize these mistakes by facilitating more informed decisions from a broader range of experiments.</w:t>
      </w:r>
    </w:p>
    <w:bookmarkEnd w:id="32"/>
    <w:bookmarkStart w:id="33" w:name="key-gaps-in-workflows"/>
    <w:p>
      <w:pPr>
        <w:pStyle w:val="Heading3"/>
      </w:pPr>
      <w:r>
        <w:t xml:space="preserve">2.2.3 Key Gaps in workflows:</w:t>
      </w:r>
    </w:p>
    <w:p>
      <w:pPr>
        <w:numPr>
          <w:ilvl w:val="0"/>
          <w:numId w:val="1003"/>
        </w:numPr>
      </w:pPr>
      <w:r>
        <w:rPr>
          <w:bCs/>
          <w:b/>
        </w:rPr>
        <w:t xml:space="preserve">Fragmented Workflows</w:t>
      </w:r>
      <w:r>
        <w:t xml:space="preserve">: Many biofoundries have disjointed processes across different stages of research and production, making it challenging to maintain a seamless flow from design to implementation.</w:t>
      </w:r>
    </w:p>
    <w:p>
      <w:pPr>
        <w:numPr>
          <w:ilvl w:val="0"/>
          <w:numId w:val="1003"/>
        </w:numPr>
      </w:pPr>
      <w:r>
        <w:rPr>
          <w:bCs/>
          <w:b/>
        </w:rPr>
        <w:t xml:space="preserve">Lack of Standard Operating Procedures (SOPs)</w:t>
      </w:r>
      <w:r>
        <w:t xml:space="preserve">: Inconsistent or absent SOPs can lead to variability in experiments, making reproducibility difficult and complicating data comparison.</w:t>
      </w:r>
    </w:p>
    <w:p>
      <w:pPr>
        <w:numPr>
          <w:ilvl w:val="0"/>
          <w:numId w:val="1003"/>
        </w:numPr>
      </w:pPr>
      <w:r>
        <w:rPr>
          <w:bCs/>
          <w:b/>
        </w:rPr>
        <w:t xml:space="preserve">Integration of Automation</w:t>
      </w:r>
      <w:r>
        <w:t xml:space="preserve">: While automation is essential for scaling processes, many workflows do not fully integrate automated systems, leading to inefficiencies and increased manual work.</w:t>
      </w:r>
    </w:p>
    <w:p>
      <w:pPr>
        <w:numPr>
          <w:ilvl w:val="0"/>
          <w:numId w:val="1003"/>
        </w:numPr>
      </w:pPr>
      <w:r>
        <w:rPr>
          <w:bCs/>
          <w:b/>
        </w:rPr>
        <w:t xml:space="preserve">Data Management and Sharing</w:t>
      </w:r>
      <w:r>
        <w:t xml:space="preserve">: Ineffective data management practices can result in difficulties in data access and sharing among team members, hampering collaboration and progress.</w:t>
      </w:r>
    </w:p>
    <w:p>
      <w:pPr>
        <w:numPr>
          <w:ilvl w:val="0"/>
          <w:numId w:val="1003"/>
        </w:numPr>
      </w:pPr>
      <w:r>
        <w:rPr>
          <w:bCs/>
          <w:b/>
        </w:rPr>
        <w:t xml:space="preserve">Feedback Loops</w:t>
      </w:r>
      <w:r>
        <w:t xml:space="preserve">: There may be insufficient mechanisms for feedback between different stages of the workflow, preventing insights from experimental results from being effectively integrated into future designs.</w:t>
      </w:r>
    </w:p>
    <w:p>
      <w:pPr>
        <w:numPr>
          <w:ilvl w:val="0"/>
          <w:numId w:val="1003"/>
        </w:numPr>
      </w:pPr>
      <w:r>
        <w:rPr>
          <w:bCs/>
          <w:b/>
        </w:rPr>
        <w:t xml:space="preserve">Cross-Disciplinary Collaboration</w:t>
      </w:r>
      <w:r>
        <w:t xml:space="preserve">: Workflows often lack structures that promote collaboration across disciplines, which is crucial in a multidisciplinary field like synthetic biology.</w:t>
      </w:r>
    </w:p>
    <w:p>
      <w:pPr>
        <w:numPr>
          <w:ilvl w:val="0"/>
          <w:numId w:val="1003"/>
        </w:numPr>
      </w:pPr>
      <w:r>
        <w:rPr>
          <w:bCs/>
          <w:b/>
        </w:rPr>
        <w:t xml:space="preserve">Real-Time Monitoring</w:t>
      </w:r>
      <w:r>
        <w:t xml:space="preserve">: Many workflows do not incorporate real-time monitoring and analytics, which can help in making timely adjustments and decisions during experiments.</w:t>
      </w:r>
    </w:p>
    <w:p>
      <w:pPr>
        <w:numPr>
          <w:ilvl w:val="0"/>
          <w:numId w:val="1003"/>
        </w:numPr>
      </w:pPr>
      <w:r>
        <w:rPr>
          <w:bCs/>
          <w:b/>
        </w:rPr>
        <w:t xml:space="preserve">Scalability Protocols</w:t>
      </w:r>
      <w:r>
        <w:t xml:space="preserve">: Procedures for scaling up from lab-scale experiments to large-scale production are often underdeveloped, posing challenges for commercialization.</w:t>
      </w:r>
    </w:p>
    <w:p>
      <w:pPr>
        <w:numPr>
          <w:ilvl w:val="0"/>
          <w:numId w:val="1003"/>
        </w:numPr>
      </w:pPr>
      <w:r>
        <w:rPr>
          <w:bCs/>
          <w:b/>
        </w:rPr>
        <w:t xml:space="preserve">Training and Onboarding</w:t>
      </w:r>
      <w:r>
        <w:t xml:space="preserve">: Inefficient onboarding processes for new personnel can slow down productivity and lead to misunderstandings about protocols and workflows.</w:t>
      </w:r>
    </w:p>
    <w:bookmarkEnd w:id="33"/>
    <w:bookmarkStart w:id="34" w:name="software"/>
    <w:p>
      <w:pPr>
        <w:pStyle w:val="Heading3"/>
      </w:pPr>
      <w:r>
        <w:t xml:space="preserve">2.2.4 Software</w:t>
      </w:r>
    </w:p>
    <w:p>
      <w:pPr>
        <w:pStyle w:val="FirstParagraph"/>
      </w:pPr>
      <w:r>
        <w:t xml:space="preserve">Despite the increasing necessity for constructing biofoundries, the availability of software specifically designed for biofoundry operations remains limited. While some existing solutions for Electronic Laboratory Notebooks (ELN) or Laboratory Information Management Systems (LIMS) [10] are available, they often do not meet the unique requirements of biofoundry operations comprehensively. Furthermore, the cost of these solutions can be prohibitive for use in an extensively scaled biofoundry environment with a large team.</w:t>
      </w:r>
    </w:p>
    <w:p>
      <w:pPr>
        <w:pStyle w:val="BodyText"/>
      </w:pPr>
      <w:r>
        <w:t xml:space="preserve">Developing software for biofoundry operations is indispensable. Creating software that coordinates biological experiments across various stages of the DBTL cycle requires the collaborative, intensive efforts of IT engineers and biologists. To address this challenge, we advocate for a</w:t>
      </w:r>
      <w:r>
        <w:t xml:space="preserve"> </w:t>
      </w:r>
      <w:r>
        <w:t xml:space="preserve">‘</w:t>
      </w:r>
      <w:r>
        <w:t xml:space="preserve">rapid prototyping and soft integration strategy.</w:t>
      </w:r>
      <w:r>
        <w:t xml:space="preserve">’</w:t>
      </w:r>
      <w:r>
        <w:t xml:space="preserve"> </w:t>
      </w:r>
      <w:r>
        <w:t xml:space="preserve">This approach emphasizes the quick development of specific functionalities necessary for biofoundry operations and their integration with existing tools, like Snapgene and GitLab. Modern frameworks for developing web-based applications, such as Python’s Streamlit or R’s Shiny, are invaluable for rapidly producing streamlined software applications. Integrated Development Environments (IDEs) like Visual Studio Code (VSCode) or RStudio are instrumental in managing the entire DBTL cycle, thereby significantly boosting the efficiency and synchronization of biofoundry operations. This approach of</w:t>
      </w:r>
      <w:r>
        <w:t xml:space="preserve"> </w:t>
      </w:r>
      <w:r>
        <w:t xml:space="preserve">‘</w:t>
      </w:r>
      <w:r>
        <w:t xml:space="preserve">rapid prototyping and soft integration</w:t>
      </w:r>
      <w:r>
        <w:t xml:space="preserve">’</w:t>
      </w:r>
      <w:r>
        <w:t xml:space="preserve"> </w:t>
      </w:r>
      <w:r>
        <w:t xml:space="preserve">underscores the importance of continuous software maintenance and updates to support equipment and technological advancements, alongside evolving scientific interests.</w:t>
      </w:r>
    </w:p>
    <w:p>
      <w:pPr>
        <w:pStyle w:val="BodyText"/>
      </w:pPr>
      <w:r>
        <w:t xml:space="preserve">Concerning the functional requirements of biofoundry software, a major challenge in biofoundry design is operational costs. It is imperative to reduce the consumption of consumables, time, and labor in individual workflows. Initially, efforts should concentrate on optimizing workflows within a semi-automated system. Software that persistently monitors the availability of automated equipment and materials plays a vital role in maximizing resource use and coordinating the execution of workflows from various users. Moreover, given the extensive number of samples processed by a biofoundry, its operational software must manage a significantly larger volume of equipment, materials, experiments, and operations than a conventional laboratory. This necessitates a seamless system to ensure equipment availability, smooth supply of materials, and swift data analysis for designing subsequent high-throughput experiments. Furthermore, constructing an operational system capable of controlling automated devices from diverse manufacturers requires APIs that can translate the interactions between user-designed workflows and automated equipment into a universally understandable language, such as JSON.</w:t>
      </w:r>
    </w:p>
    <w:p>
      <w:pPr>
        <w:pStyle w:val="BodyText"/>
      </w:pPr>
      <w:r>
        <w:t xml:space="preserve">While these endeavors can be demanding and might necessitate collaboration with equipment vendors, initiating software development that monitors equipment status and suggests optimized workflows in a semi-automated system is feasible. The adaptability and compatibility offered by such a system are crucial for enhancing accessibility and interoperability among biofoundry facilities.</w:t>
      </w:r>
    </w:p>
    <w:bookmarkEnd w:id="34"/>
    <w:bookmarkStart w:id="35" w:name="key-gaps-in-software"/>
    <w:p>
      <w:pPr>
        <w:pStyle w:val="Heading3"/>
      </w:pPr>
      <w:r>
        <w:t xml:space="preserve">2.2.5 Key Gaps in Software</w:t>
      </w:r>
    </w:p>
    <w:p>
      <w:pPr>
        <w:numPr>
          <w:ilvl w:val="0"/>
          <w:numId w:val="1004"/>
        </w:numPr>
        <w:pStyle w:val="Compact"/>
      </w:pPr>
      <w:r>
        <w:rPr>
          <w:bCs/>
          <w:b/>
        </w:rPr>
        <w:t xml:space="preserve">Data Integration</w:t>
      </w:r>
      <w:r>
        <w:t xml:space="preserve">: Many biofoundries utilize disparate systems for data collection and analysis, leading to challenges in integrating and interpreting data from various sources.</w:t>
      </w:r>
    </w:p>
    <w:p>
      <w:pPr>
        <w:numPr>
          <w:ilvl w:val="0"/>
          <w:numId w:val="1004"/>
        </w:numPr>
        <w:pStyle w:val="Compact"/>
      </w:pPr>
      <w:r>
        <w:rPr>
          <w:bCs/>
          <w:b/>
        </w:rPr>
        <w:t xml:space="preserve">User-Friendly Interfaces</w:t>
      </w:r>
      <w:r>
        <w:t xml:space="preserve">: Existing software often lacks intuitive interfaces, making it difficult for non-experts to use advanced tools and access data effectively.</w:t>
      </w:r>
    </w:p>
    <w:p>
      <w:pPr>
        <w:numPr>
          <w:ilvl w:val="0"/>
          <w:numId w:val="1004"/>
        </w:numPr>
        <w:pStyle w:val="Compact"/>
      </w:pPr>
      <w:r>
        <w:rPr>
          <w:bCs/>
          <w:b/>
        </w:rPr>
        <w:t xml:space="preserve">Collaboration Tools</w:t>
      </w:r>
      <w:r>
        <w:t xml:space="preserve">: There is often a shortage of robust collaboration platforms that facilitate communication and project management among multidisciplinary teams.</w:t>
      </w:r>
    </w:p>
    <w:p>
      <w:pPr>
        <w:numPr>
          <w:ilvl w:val="0"/>
          <w:numId w:val="1004"/>
        </w:numPr>
        <w:pStyle w:val="Compact"/>
      </w:pPr>
      <w:r>
        <w:rPr>
          <w:bCs/>
          <w:b/>
        </w:rPr>
        <w:t xml:space="preserve">Standardized Workflows</w:t>
      </w:r>
      <w:r>
        <w:t xml:space="preserve">: A lack of standardized software workflows can lead to inconsistencies in experimental processes and results, hindering reproducibility.</w:t>
      </w:r>
    </w:p>
    <w:p>
      <w:pPr>
        <w:numPr>
          <w:ilvl w:val="0"/>
          <w:numId w:val="1004"/>
        </w:numPr>
        <w:pStyle w:val="Compact"/>
      </w:pPr>
      <w:r>
        <w:rPr>
          <w:bCs/>
          <w:b/>
        </w:rPr>
        <w:t xml:space="preserve">Simulation and Modeling Tools</w:t>
      </w:r>
      <w:r>
        <w:t xml:space="preserve">: Advanced tools for simulating biological processes and modeling systems biology are often limited or not user-friendly, which restricts their use in design and optimization.</w:t>
      </w:r>
    </w:p>
    <w:p>
      <w:pPr>
        <w:numPr>
          <w:ilvl w:val="0"/>
          <w:numId w:val="1004"/>
        </w:numPr>
        <w:pStyle w:val="Compact"/>
      </w:pPr>
      <w:r>
        <w:rPr>
          <w:bCs/>
          <w:b/>
        </w:rPr>
        <w:t xml:space="preserve">Automated Data Analysis</w:t>
      </w:r>
      <w:r>
        <w:t xml:space="preserve">: There is a need for more sophisticated software solutions for automated data analysis and interpretation, particularly for large datasets generated by high-throughput experiments.</w:t>
      </w:r>
    </w:p>
    <w:p>
      <w:pPr>
        <w:numPr>
          <w:ilvl w:val="0"/>
          <w:numId w:val="1004"/>
        </w:numPr>
        <w:pStyle w:val="Compact"/>
      </w:pPr>
      <w:r>
        <w:rPr>
          <w:bCs/>
          <w:b/>
        </w:rPr>
        <w:t xml:space="preserve">Visualization Tools</w:t>
      </w:r>
      <w:r>
        <w:t xml:space="preserve">: Enhanced visualization software is often needed to effectively represent complex biological data and results, making them more accessible to researchers and stakeholders.</w:t>
      </w:r>
    </w:p>
    <w:p>
      <w:pPr>
        <w:numPr>
          <w:ilvl w:val="0"/>
          <w:numId w:val="1004"/>
        </w:numPr>
        <w:pStyle w:val="Compact"/>
      </w:pPr>
      <w:r>
        <w:rPr>
          <w:bCs/>
          <w:b/>
        </w:rPr>
        <w:t xml:space="preserve">Version Control</w:t>
      </w:r>
      <w:r>
        <w:t xml:space="preserve">: Effective version control systems for experimental protocols, data, and software tools are often not well-integrated, leading to potential errors and confusion.</w:t>
      </w:r>
    </w:p>
    <w:p>
      <w:pPr>
        <w:numPr>
          <w:ilvl w:val="0"/>
          <w:numId w:val="1004"/>
        </w:numPr>
        <w:pStyle w:val="Compact"/>
      </w:pPr>
      <w:r>
        <w:rPr>
          <w:bCs/>
          <w:b/>
        </w:rPr>
        <w:t xml:space="preserve">Interoperability</w:t>
      </w:r>
      <w:r>
        <w:t xml:space="preserve">: Many biofoundry software tools lack interoperability, making it difficult to exchange data and functionalities between different platforms and tools</w:t>
      </w:r>
    </w:p>
    <w:p>
      <w:pPr>
        <w:numPr>
          <w:ilvl w:val="0"/>
          <w:numId w:val="1004"/>
        </w:numPr>
        <w:pStyle w:val="Compact"/>
      </w:pPr>
      <w:r>
        <w:rPr>
          <w:bCs/>
          <w:b/>
        </w:rPr>
        <w:t xml:space="preserve">Regulatory Compliance</w:t>
      </w:r>
      <w:r>
        <w:t xml:space="preserve">: Software solutions that aid in ensuring compliance with regulatory requirements are often lacking, making it difficult to manage documentation and quality control.</w:t>
      </w:r>
    </w:p>
    <w:bookmarkEnd w:id="35"/>
    <w:bookmarkEnd w:id="36"/>
    <w:bookmarkStart w:id="37" w:name="methods"/>
    <w:p>
      <w:pPr>
        <w:pStyle w:val="Heading2"/>
      </w:pPr>
      <w:r>
        <w:t xml:space="preserve">2.3 Methods</w:t>
      </w:r>
    </w:p>
    <w:bookmarkEnd w:id="37"/>
    <w:bookmarkStart w:id="38" w:name="results"/>
    <w:p>
      <w:pPr>
        <w:pStyle w:val="Heading2"/>
      </w:pPr>
      <w:r>
        <w:t xml:space="preserve">2.4 Results</w:t>
      </w:r>
    </w:p>
    <w:bookmarkEnd w:id="38"/>
    <w:bookmarkStart w:id="65" w:name="computational-tools"/>
    <w:p>
      <w:pPr>
        <w:pStyle w:val="Heading2"/>
      </w:pPr>
      <w:r>
        <w:t xml:space="preserve">2.5 Computational Tools:</w:t>
      </w:r>
    </w:p>
    <w:bookmarkStart w:id="44" w:name="tools-for-data-logging-and-collaboration"/>
    <w:p>
      <w:pPr>
        <w:pStyle w:val="Heading3"/>
      </w:pPr>
      <w:r>
        <w:t xml:space="preserve">2.5.1 Tools for Data Logging and Collaboration:</w:t>
      </w:r>
    </w:p>
    <w:p>
      <w:pPr>
        <w:pStyle w:val="FirstParagraph"/>
      </w:pPr>
      <w:r>
        <w:drawing>
          <wp:inline>
            <wp:extent cx="3352800" cy="4203975"/>
            <wp:effectExtent b="0" l="0" r="0" t="0"/>
            <wp:docPr descr="" title="" id="40" name="Picture"/>
            <a:graphic>
              <a:graphicData uri="http://schemas.openxmlformats.org/drawingml/2006/picture">
                <pic:pic>
                  <pic:nvPicPr>
                    <pic:cNvPr descr="chapters/images/paste-1.png" id="41" name="Picture"/>
                    <pic:cNvPicPr>
                      <a:picLocks noChangeArrowheads="1" noChangeAspect="1"/>
                    </pic:cNvPicPr>
                  </pic:nvPicPr>
                  <pic:blipFill>
                    <a:blip r:embed="rId39"/>
                    <a:stretch>
                      <a:fillRect/>
                    </a:stretch>
                  </pic:blipFill>
                  <pic:spPr bwMode="auto">
                    <a:xfrm>
                      <a:off x="0" y="0"/>
                      <a:ext cx="3352800" cy="4203975"/>
                    </a:xfrm>
                    <a:prstGeom prst="rect">
                      <a:avLst/>
                    </a:prstGeom>
                    <a:noFill/>
                    <a:ln w="9525">
                      <a:noFill/>
                      <a:headEnd/>
                      <a:tailEnd/>
                    </a:ln>
                  </pic:spPr>
                </pic:pic>
              </a:graphicData>
            </a:graphic>
          </wp:inline>
        </w:drawing>
      </w:r>
    </w:p>
    <w:bookmarkStart w:id="42" w:name="electronic-lab-notebooks"/>
    <w:p>
      <w:pPr>
        <w:pStyle w:val="Heading4"/>
      </w:pPr>
      <w:r>
        <w:t xml:space="preserve">2.5.1.1 Electronic Lab Notebooks:</w:t>
      </w:r>
    </w:p>
    <w:p>
      <w:pPr>
        <w:pStyle w:val="FirstParagraph"/>
      </w:pPr>
      <w:r>
        <w:t xml:space="preserve">Electronic Lab Notebooks (ELNs) are essential tools in modern research environments, offering several key advantages over traditional paper notebooks. They facilitate efficient data management by allowing researchers to easily organize, store, and retrieve experimental data. ELNs enhance collaboration among team members by enabling real-time sharing and commenting on data, which fosters greater communication and collective insights. Moreover, they improve data integrity and reproducibility through built-in version control and automated backups, reducing the risk of data loss or errors. ELNs also streamline compliance with regulatory requirements by providing secure, auditable records of experiments. Additionally, their integration with other digital tools and platforms can enhance workflows and automate routine tasks, ultimately increasing productivity and accelerating the research process[10].</w:t>
      </w:r>
    </w:p>
    <w:p>
      <w:pPr>
        <w:pStyle w:val="BodyText"/>
      </w:pPr>
      <w:r>
        <w:t xml:space="preserve">While there are free options for ELN software, many vendors limit data storage, file sizes, and the number of users, which can hinder larger teams or projects. Portability of files can also be a concern depending upon the ELN provider; for example if it ceases operations or raises prices, users may only receive a PDF export of their data, complicating transitions to other platforms. Although infrequent, security breaches, are a potential risk that users should be aware of. Additionally, not all electronic solutions cater to every lab’s needs; for example, some ELNs do not integrate with specific biotools like CRISPR/Cas9 genome editing software. Furthermore, user experience can vary significantly; many reviews point out issues with nonintuitive interfaces and the need for extensive training, which can slow down effective implementation in the lab [11].</w:t>
      </w:r>
    </w:p>
    <w:p>
      <w:pPr>
        <w:pStyle w:val="BodyText"/>
      </w:pPr>
      <w:r>
        <w:t xml:space="preserve">Here, we describe using Visual Studio (VS) Code along with quarto markdown files as an ELN. VS Code is compatible with most types of files. VS Code allows for the creation of Markdown files, which can be used to document experiments, protocols, and results in a structured and easily readable format. The built-in version control system (Git) enables users to track changes over time, making it simple to maintain a history of experiments and revisions. Open-sourced extensions allow integration of other software such as Docker, GitHub, and Notion which can be standardized through a free account.</w:t>
      </w:r>
    </w:p>
    <w:p>
      <w:pPr>
        <w:pStyle w:val="BodyText"/>
      </w:pPr>
      <w:r>
        <w:t xml:space="preserve">Moreover, integration of Jupyter Notebooks allow for interactive data analysis and visualization, integrating coding directly with documentation. This can be particularly useful for analyzing data using programming languages such as Python or R. Users can also benefit from VS Code’s robust search capabilities, making it easy to locate specific notes or data points across multiple files. Overall, using VS Code as an ELN combines flexibility, organization, and collaboration, making it a compelling choice for researchers looking to streamline their documentation processes.</w:t>
      </w:r>
    </w:p>
    <w:bookmarkEnd w:id="42"/>
    <w:bookmarkStart w:id="43" w:name="version-control"/>
    <w:p>
      <w:pPr>
        <w:pStyle w:val="Heading4"/>
      </w:pPr>
      <w:r>
        <w:t xml:space="preserve">2.5.1.2 Version Control:</w:t>
      </w:r>
    </w:p>
    <w:p>
      <w:pPr>
        <w:pStyle w:val="FirstParagraph"/>
      </w:pPr>
      <w:r>
        <w:t xml:space="preserve">Collaboration is streamlined on GitHub, as multiple team members can work on the same project simultaneously. Additionally, the ability to store files in cloud-based repositories (like GitHub or GitLab) ensures data portability and accessibility, even if the original workspace changes. This allows users to track changes over time, providing a clear history of modifications, which is essential for reproducibility and accountability. Users can create branches to explore new ideas or experiment with changes without affecting the main content. Pull requests enable thorough discussions and reviews of proposed changes before merging, ensuring that all contributions are vetted and enhancing the quality of the documentation.</w:t>
      </w:r>
    </w:p>
    <w:p>
      <w:pPr>
        <w:pStyle w:val="BodyText"/>
      </w:pPr>
      <w:r>
        <w:t xml:space="preserve">GitHub also supports Markdown, making it easy to format notes for clarity and readability. With features like issue tracking, users can manage tasks and monitor project progress efficiently. The platform’s cloud-based storage ensures that data is accessible from anywhere, minimizing the risk of loss. Overall, using GitHub for version control in an ELN not only improves organization and collaboration but also enhances the integrity and transparency of the research process.</w:t>
      </w:r>
    </w:p>
    <w:p>
      <w:pPr>
        <w:pStyle w:val="BodyText"/>
      </w:pPr>
      <w:r>
        <w:t xml:space="preserve">Using Docker to share workflow environments offers a powerful solution for ensuring consistency and reproducibility in research and development projects. Docker allows users to create containerized environments that encapsulate all necessary dependencies, libraries, and configurations required to run a specific application or workflow. This means that researchers can share their entire computational environment, ensuring that collaborators can run the same code with the same results, regardless of their local setups.</w:t>
      </w:r>
    </w:p>
    <w:p>
      <w:pPr>
        <w:pStyle w:val="BodyText"/>
      </w:pPr>
      <w:r>
        <w:t xml:space="preserve">By creating a Docker image, users can package their workflows along with any required software, making it easy to distribute and deploy on any system that supports Docker. This eliminates the common</w:t>
      </w:r>
      <w:r>
        <w:t xml:space="preserve"> </w:t>
      </w:r>
      <w:r>
        <w:t xml:space="preserve">“</w:t>
      </w:r>
      <w:r>
        <w:t xml:space="preserve">it works on my machine</w:t>
      </w:r>
      <w:r>
        <w:t xml:space="preserve">”</w:t>
      </w:r>
      <w:r>
        <w:t xml:space="preserve"> </w:t>
      </w:r>
      <w:r>
        <w:t xml:space="preserve">problem, as the container will behave the same way on any platform. Additionally, Docker supports versioning, allowing teams to track changes in their environment over time and roll back to previous configurations if needed. [12, 13]</w:t>
      </w:r>
    </w:p>
    <w:p>
      <w:pPr>
        <w:pStyle w:val="BodyText"/>
      </w:pPr>
      <w:r>
        <w:t xml:space="preserve">Models and datasets can be uploaded on AI sharing platforms such as Huggingface.</w:t>
      </w:r>
    </w:p>
    <w:bookmarkEnd w:id="43"/>
    <w:bookmarkEnd w:id="44"/>
    <w:bookmarkStart w:id="49" w:name="accesibility-to-modelling-tools"/>
    <w:p>
      <w:pPr>
        <w:pStyle w:val="Heading3"/>
      </w:pPr>
      <w:r>
        <w:t xml:space="preserve">2.5.2 Accesibility to Modelling Tools:</w:t>
      </w:r>
    </w:p>
    <w:p>
      <w:pPr>
        <w:pStyle w:val="FirstParagraph"/>
      </w:pPr>
      <w:r>
        <w:t xml:space="preserve">Simulation and modeling tools play a crucial role in understanding and optimizing biological processes, particularly in fields like systems biology, synthetic biology, and drug development. However, many of these advanced tools are often limited in accessibility and user-friendliness, which can restrict their widespread adoption and effective use in research and application.</w:t>
      </w:r>
    </w:p>
    <w:p>
      <w:pPr>
        <w:pStyle w:val="BodyText"/>
      </w:pPr>
      <w:r>
        <w:t xml:space="preserve">Many of the available tools require specialized knowledge of programming and mathematical modeling, creating a steep learning curve for researchers who may not have a strong computational background. This can discourage scientists from utilizing these tools, even when they could significantly enhance their research. Additionally, some tools may lack comprehensive documentation or user support, making it difficult for users to troubleshoot issues or fully leverage the tool’s capabilities.</w:t>
      </w:r>
    </w:p>
    <w:p>
      <w:pPr>
        <w:pStyle w:val="BodyText"/>
      </w:pPr>
      <w:r>
        <w:t xml:space="preserve">Even when large models are made accessible on platforms like Google Colab, such as ColabFold, their functionality can be limited due to several factors. Firstly, computational resources on free or tiered cloud platforms may be restricted, leading to longer processing times or the inability to run particularly large or complex models that require significant computational power. This limitation can frustrate users who need to conduct extensive simulations or analyses. Additionally, Colab’s environment may not support all the necessary libraries or specific versions of software that users require for their models. While Colab offers a range of pre-installed packages, researchers may still encounter compatibility issues, requiring extra time to set up their environments properly. Furthermore, the reliance on internet connectivity can also pose challenges. Interruptions or slow connections can hinder users’ ability to run or save their work, potentially resulting in data loss or incomplete analyses [14]. Having locally hosted databases and models downloaded allows for more accurate analysis and predictions [15].</w:t>
      </w:r>
    </w:p>
    <w:p>
      <w:pPr>
        <w:pStyle w:val="BodyText"/>
      </w:pPr>
      <w:r>
        <w:t xml:space="preserve">To address these challenges, there is a growing need for more intuitive simulation and modeling tools that offer user-friendly interfaces and robust support for data integration. Enhancements such as visual modeling environments, drag-and-drop functionalities, and real-time feedback can make these tools more accessible to a broader audience. Furthermore, fostering collaborations between computational scientists and biologists can help ensure that the tools developed are tailored to the specific needs of the research community. [16]</w:t>
      </w:r>
    </w:p>
    <w:bookmarkStart w:id="48" w:name="alphafoldrosettafold-ui"/>
    <w:p>
      <w:pPr>
        <w:pStyle w:val="Heading4"/>
      </w:pPr>
      <w:r>
        <w:t xml:space="preserve">2.5.2.1 AlphaFold/RosettaFold UI:</w:t>
      </w:r>
    </w:p>
    <w:p>
      <w:pPr>
        <w:pStyle w:val="FirstParagraph"/>
      </w:pPr>
      <w:r>
        <w:drawing>
          <wp:inline>
            <wp:extent cx="2428875" cy="2578893"/>
            <wp:effectExtent b="0" l="0" r="0" t="0"/>
            <wp:docPr descr="" title="" id="46" name="Picture"/>
            <a:graphic>
              <a:graphicData uri="http://schemas.openxmlformats.org/drawingml/2006/picture">
                <pic:pic>
                  <pic:nvPicPr>
                    <pic:cNvPr descr="chapters/images/paste-2.png" id="47" name="Picture"/>
                    <pic:cNvPicPr>
                      <a:picLocks noChangeArrowheads="1" noChangeAspect="1"/>
                    </pic:cNvPicPr>
                  </pic:nvPicPr>
                  <pic:blipFill>
                    <a:blip r:embed="rId45"/>
                    <a:stretch>
                      <a:fillRect/>
                    </a:stretch>
                  </pic:blipFill>
                  <pic:spPr bwMode="auto">
                    <a:xfrm>
                      <a:off x="0" y="0"/>
                      <a:ext cx="2428875" cy="2578893"/>
                    </a:xfrm>
                    <a:prstGeom prst="rect">
                      <a:avLst/>
                    </a:prstGeom>
                    <a:noFill/>
                    <a:ln w="9525">
                      <a:noFill/>
                      <a:headEnd/>
                      <a:tailEnd/>
                    </a:ln>
                  </pic:spPr>
                </pic:pic>
              </a:graphicData>
            </a:graphic>
          </wp:inline>
        </w:drawing>
      </w:r>
    </w:p>
    <w:bookmarkEnd w:id="48"/>
    <w:bookmarkEnd w:id="49"/>
    <w:bookmarkStart w:id="55" w:name="visualization-tools"/>
    <w:p>
      <w:pPr>
        <w:pStyle w:val="Heading3"/>
      </w:pPr>
      <w:r>
        <w:t xml:space="preserve">2.5.3 Visualization Tools:</w:t>
      </w:r>
    </w:p>
    <w:p>
      <w:pPr>
        <w:pStyle w:val="FirstParagraph"/>
      </w:pPr>
      <w:r>
        <w:t xml:space="preserve">Biological data can be intricate and multidimensional, often involving large datasets from experiments such as genomics, proteomics, and metabolomics. Visualization tools help translate this data into graphical formats, making it easier for researchers to identify patterns, trends, and anomalies that might not be apparent in raw data. [17]</w:t>
      </w:r>
    </w:p>
    <w:p>
      <w:pPr>
        <w:pStyle w:val="BodyText"/>
      </w:pPr>
      <w:r>
        <w:t xml:space="preserve">These tools facilitate exploratory data analysis, allowing scientists to visualize relationships and interactions among biological variables. For instance, network diagrams can depict interactions between proteins, while heatmaps can show gene expression levels across different conditions, helping researchers draw meaningful conclusions and generate hypotheses. [18,19, 20]</w:t>
      </w:r>
    </w:p>
    <w:bookmarkStart w:id="53" w:name="facs-visualization"/>
    <w:p>
      <w:pPr>
        <w:pStyle w:val="Heading4"/>
      </w:pPr>
      <w:r>
        <w:t xml:space="preserve">2.5.3.1 FACS Visualization:</w:t>
      </w:r>
    </w:p>
    <w:p>
      <w:pPr>
        <w:pStyle w:val="FirstParagraph"/>
      </w:pPr>
      <w:r>
        <w:drawing>
          <wp:inline>
            <wp:extent cx="4181475" cy="7008626"/>
            <wp:effectExtent b="0" l="0" r="0" t="0"/>
            <wp:docPr descr="" title="" id="51" name="Picture"/>
            <a:graphic>
              <a:graphicData uri="http://schemas.openxmlformats.org/drawingml/2006/picture">
                <pic:pic>
                  <pic:nvPicPr>
                    <pic:cNvPr descr="chapters/images/paste-3.png" id="52" name="Picture"/>
                    <pic:cNvPicPr>
                      <a:picLocks noChangeArrowheads="1" noChangeAspect="1"/>
                    </pic:cNvPicPr>
                  </pic:nvPicPr>
                  <pic:blipFill>
                    <a:blip r:embed="rId50"/>
                    <a:stretch>
                      <a:fillRect/>
                    </a:stretch>
                  </pic:blipFill>
                  <pic:spPr bwMode="auto">
                    <a:xfrm>
                      <a:off x="0" y="0"/>
                      <a:ext cx="4181475" cy="7008626"/>
                    </a:xfrm>
                    <a:prstGeom prst="rect">
                      <a:avLst/>
                    </a:prstGeom>
                    <a:noFill/>
                    <a:ln w="9525">
                      <a:noFill/>
                      <a:headEnd/>
                      <a:tailEnd/>
                    </a:ln>
                  </pic:spPr>
                </pic:pic>
              </a:graphicData>
            </a:graphic>
          </wp:inline>
        </w:drawing>
      </w:r>
    </w:p>
    <w:bookmarkEnd w:id="53"/>
    <w:bookmarkStart w:id="54" w:name="mutant-variability-visualizer"/>
    <w:p>
      <w:pPr>
        <w:pStyle w:val="Heading4"/>
      </w:pPr>
      <w:r>
        <w:t xml:space="preserve">2.5.3.2 Mutant Variability Visualizer:</w:t>
      </w:r>
    </w:p>
    <w:bookmarkEnd w:id="54"/>
    <w:bookmarkEnd w:id="55"/>
    <w:bookmarkStart w:id="58" w:name="design-tools"/>
    <w:p>
      <w:pPr>
        <w:pStyle w:val="Heading3"/>
      </w:pPr>
      <w:r>
        <w:t xml:space="preserve">2.5.4 Design Tools:</w:t>
      </w:r>
    </w:p>
    <w:bookmarkStart w:id="56" w:name="primer-design"/>
    <w:p>
      <w:pPr>
        <w:pStyle w:val="Heading4"/>
      </w:pPr>
      <w:r>
        <w:t xml:space="preserve">2.5.4.1 Primer design:</w:t>
      </w:r>
    </w:p>
    <w:bookmarkEnd w:id="56"/>
    <w:bookmarkStart w:id="57" w:name="in-silico-mutant-generator"/>
    <w:p>
      <w:pPr>
        <w:pStyle w:val="Heading4"/>
      </w:pPr>
      <w:r>
        <w:t xml:space="preserve">2.5.4.2 In-silico Mutant Generator:</w:t>
      </w:r>
    </w:p>
    <w:bookmarkEnd w:id="57"/>
    <w:bookmarkEnd w:id="58"/>
    <w:bookmarkStart w:id="60" w:name="machine-interoperability"/>
    <w:p>
      <w:pPr>
        <w:pStyle w:val="Heading3"/>
      </w:pPr>
      <w:r>
        <w:t xml:space="preserve">2.5.5 Machine Interoperability:</w:t>
      </w:r>
    </w:p>
    <w:bookmarkStart w:id="59" w:name="well-mapping"/>
    <w:p>
      <w:pPr>
        <w:pStyle w:val="Heading4"/>
      </w:pPr>
      <w:r>
        <w:t xml:space="preserve">2.5.5.1 Well Mapping:</w:t>
      </w:r>
    </w:p>
    <w:bookmarkEnd w:id="59"/>
    <w:bookmarkEnd w:id="60"/>
    <w:bookmarkStart w:id="62" w:name="analysis-tools"/>
    <w:p>
      <w:pPr>
        <w:pStyle w:val="Heading3"/>
      </w:pPr>
      <w:r>
        <w:t xml:space="preserve">2.5.6 Analysis Tools:</w:t>
      </w:r>
    </w:p>
    <w:bookmarkStart w:id="61" w:name="nanopore-analysis"/>
    <w:p>
      <w:pPr>
        <w:pStyle w:val="Heading4"/>
      </w:pPr>
      <w:r>
        <w:t xml:space="preserve">2.5.6.1 Nanopore Analysis:</w:t>
      </w:r>
    </w:p>
    <w:bookmarkEnd w:id="61"/>
    <w:bookmarkEnd w:id="62"/>
    <w:bookmarkStart w:id="64" w:name="tools-for-data-storage-and-sharing"/>
    <w:p>
      <w:pPr>
        <w:pStyle w:val="Heading3"/>
      </w:pPr>
      <w:r>
        <w:t xml:space="preserve">2.5.7 Tools for Data Storage and Sharing:</w:t>
      </w:r>
    </w:p>
    <w:bookmarkStart w:id="63" w:name="server-management"/>
    <w:p>
      <w:pPr>
        <w:pStyle w:val="Heading4"/>
      </w:pPr>
      <w:r>
        <w:t xml:space="preserve">2.5.7.1 Server Management:</w:t>
      </w:r>
    </w:p>
    <w:bookmarkEnd w:id="63"/>
    <w:bookmarkEnd w:id="64"/>
    <w:bookmarkEnd w:id="65"/>
    <w:bookmarkEnd w:id="66"/>
    <w:bookmarkStart w:id="71" w:name="references"/>
    <w:p>
      <w:pPr>
        <w:pStyle w:val="Heading1"/>
      </w:pPr>
      <w:r>
        <w:t xml:space="preserve">3. References</w:t>
      </w:r>
    </w:p>
    <w:p>
      <w:pPr>
        <w:numPr>
          <w:ilvl w:val="0"/>
          <w:numId w:val="1005"/>
        </w:numPr>
      </w:pPr>
      <w:r>
        <w:t xml:space="preserve">Hodgman CE, Jewett MC (2012) Cell-free synthetic biology: thinking outside the cell. Metab Eng 14:261–269. https://doi.org/ 10.1016/j.ymben.2011.09.002</w:t>
      </w:r>
    </w:p>
    <w:p>
      <w:pPr>
        <w:numPr>
          <w:ilvl w:val="0"/>
          <w:numId w:val="1005"/>
        </w:numPr>
      </w:pPr>
      <w:r>
        <w:t xml:space="preserve">King RD, Whelan KE, Jones FM et al (2004) Functional genomic hypothesis generation and experimentation by a robot scientist. Nature 427:247–252. https://doi.org/10.1038/nature02236</w:t>
      </w:r>
    </w:p>
    <w:p>
      <w:pPr>
        <w:numPr>
          <w:ilvl w:val="0"/>
          <w:numId w:val="1005"/>
        </w:numPr>
      </w:pPr>
      <w:r>
        <w:t xml:space="preserve">King RD, Rowland J, Oliver SG et al (2009) The automation of science. Science 324:85–89. https://doi.org/10.1126/science. 1165620</w:t>
      </w:r>
    </w:p>
    <w:p>
      <w:pPr>
        <w:numPr>
          <w:ilvl w:val="0"/>
          <w:numId w:val="1005"/>
        </w:numPr>
      </w:pPr>
      <w:r>
        <w:t xml:space="preserve">Köpke M, Simpson SD (2020) Pollution to products: recycling of</w:t>
      </w:r>
      <w:r>
        <w:t xml:space="preserve"> </w:t>
      </w:r>
      <w:r>
        <w:t xml:space="preserve">“</w:t>
      </w:r>
      <w:r>
        <w:t xml:space="preserve">above ground</w:t>
      </w:r>
      <w:r>
        <w:t xml:space="preserve">”</w:t>
      </w:r>
      <w:r>
        <w:t xml:space="preserve"> </w:t>
      </w:r>
      <w:r>
        <w:t xml:space="preserve">carbon by gas fermentation. Curr Opin Biotechnol 65:180–189. https://doi.org/10.1016/j.copbio.2020.02.017</w:t>
      </w:r>
    </w:p>
    <w:p>
      <w:pPr>
        <w:numPr>
          <w:ilvl w:val="0"/>
          <w:numId w:val="1005"/>
        </w:numPr>
      </w:pPr>
      <w:r>
        <w:t xml:space="preserve">Vögeli B, Schulz L, Garg S et al (2022) Cell-free prototyping ena- bles implementation of optimized reverse β-oxidation pathways in heterotrophic and autotrophic bacteria. Nat Commun 13:3058. https://doi.org/10.1038/s41467-022-30571-6</w:t>
      </w:r>
    </w:p>
    <w:p>
      <w:pPr>
        <w:numPr>
          <w:ilvl w:val="0"/>
          <w:numId w:val="1005"/>
        </w:numPr>
      </w:pPr>
      <w:r>
        <w:t xml:space="preserve">Kim KJ, Lee SJ, Kim DM (2023) The use of cell-free protein synthesis to push the boundaries of synthetic biology. Biotechnol Bioprocess Eng. https://doi.org/10.1007/s12257-022-0279-2</w:t>
      </w:r>
    </w:p>
    <w:p>
      <w:pPr>
        <w:numPr>
          <w:ilvl w:val="0"/>
          <w:numId w:val="1005"/>
        </w:numPr>
      </w:pPr>
      <w:r>
        <w:t xml:space="preserve">Kelly J (2022) Grow with ginkgo. Ginkgo Bioworks. https://s28. q4cdn.com/823357996/files/doc_presentations/2022/01/2022.01. 12-Ginkgo-DNA-JPM-2022.pdf.</w:t>
      </w:r>
    </w:p>
    <w:p>
      <w:pPr>
        <w:numPr>
          <w:ilvl w:val="0"/>
          <w:numId w:val="1005"/>
        </w:numPr>
      </w:pPr>
      <w:hyperlink r:id="rId67">
        <w:r>
          <w:rPr>
            <w:rStyle w:val="Hyperlink"/>
          </w:rPr>
          <w:t xml:space="preserve">https://www.cowen.com/transactions/amyris-inc-6-4-2020/</w:t>
        </w:r>
      </w:hyperlink>
    </w:p>
    <w:p>
      <w:pPr>
        <w:numPr>
          <w:ilvl w:val="0"/>
          <w:numId w:val="1005"/>
        </w:numPr>
      </w:pPr>
      <w:r>
        <w:t xml:space="preserve">Sogi GM (2023) Research waste. Contemp Clin Dent 14:179.</w:t>
      </w:r>
    </w:p>
    <w:p>
      <w:pPr>
        <w:numPr>
          <w:ilvl w:val="0"/>
          <w:numId w:val="1005"/>
        </w:numPr>
      </w:pPr>
      <w:r>
        <w:t xml:space="preserve">Kwok R (2018) How to pick an electronic laboratory notebook. Nature 560:269–270. https:// doi. org/ 10. 1038/ d41586-018-05895-3</w:t>
      </w:r>
    </w:p>
    <w:p>
      <w:pPr>
        <w:numPr>
          <w:ilvl w:val="0"/>
          <w:numId w:val="1005"/>
        </w:numPr>
      </w:pPr>
      <w:hyperlink r:id="rId68">
        <w:r>
          <w:rPr>
            <w:rStyle w:val="Hyperlink"/>
          </w:rPr>
          <w:t xml:space="preserve">https://www.idtdna.com/pages/community/blog/post/thinking-about-making-the-switch-to-an-electronic-lab-notebook-here-are-some-pros-and-cons</w:t>
        </w:r>
      </w:hyperlink>
    </w:p>
    <w:p>
      <w:pPr>
        <w:numPr>
          <w:ilvl w:val="0"/>
          <w:numId w:val="1005"/>
        </w:numPr>
      </w:pPr>
      <w:r>
        <w:t xml:space="preserve">David Eyers, Sarah Stevens, Andy Turner and Jeremy Cohen, Containers for reproducible research.</w:t>
      </w:r>
      <w:r>
        <w:t xml:space="preserve"> </w:t>
      </w:r>
      <w:hyperlink r:id="rId69">
        <w:r>
          <w:rPr>
            <w:rStyle w:val="Hyperlink"/>
          </w:rPr>
          <w:t xml:space="preserve">https://github.com/ImperialCollegeLondon/2020-07-13-Containers-Online/blob/gh-pages/CITATION</w:t>
        </w:r>
      </w:hyperlink>
    </w:p>
    <w:p>
      <w:pPr>
        <w:numPr>
          <w:ilvl w:val="0"/>
          <w:numId w:val="1005"/>
        </w:numPr>
      </w:pPr>
      <w:r>
        <w:t xml:space="preserve">Leahy, Darragh, and Christina Thorpe.</w:t>
      </w:r>
      <w:r>
        <w:t xml:space="preserve"> </w:t>
      </w:r>
      <w:r>
        <w:t xml:space="preserve">“</w:t>
      </w:r>
      <w:r>
        <w:t xml:space="preserve">Zero trust container architecture (ztca): A framework for applying zero trust principals to docker containers.</w:t>
      </w:r>
      <w:r>
        <w:t xml:space="preserve">”</w:t>
      </w:r>
      <w:r>
        <w:t xml:space="preserve"> </w:t>
      </w:r>
      <w:r>
        <w:rPr>
          <w:iCs/>
          <w:i/>
        </w:rPr>
        <w:t xml:space="preserve">International Conference on Cyber Warfare and Security</w:t>
      </w:r>
      <w:r>
        <w:t xml:space="preserve">. Vol. 17. No. 1. 2022.</w:t>
      </w:r>
    </w:p>
    <w:p>
      <w:pPr>
        <w:numPr>
          <w:ilvl w:val="0"/>
          <w:numId w:val="1005"/>
        </w:numPr>
      </w:pPr>
      <w:r>
        <w:t xml:space="preserve">Mirdita, M., Schütze, K., Moriwaki, Y., Heo, L., Ovchinnikov, S. and Steinegger, M., 2022. ColabFold: making protein folding accessible to all.</w:t>
      </w:r>
      <w:r>
        <w:t xml:space="preserve"> </w:t>
      </w:r>
      <w:r>
        <w:rPr>
          <w:iCs/>
          <w:i/>
        </w:rPr>
        <w:t xml:space="preserve">Nature methods</w:t>
      </w:r>
      <w:r>
        <w:t xml:space="preserve">,</w:t>
      </w:r>
      <w:r>
        <w:t xml:space="preserve"> </w:t>
      </w:r>
      <w:r>
        <w:rPr>
          <w:iCs/>
          <w:i/>
        </w:rPr>
        <w:t xml:space="preserve">19</w:t>
      </w:r>
      <w:r>
        <w:t xml:space="preserve">(6), pp.679-682.</w:t>
      </w:r>
    </w:p>
    <w:p>
      <w:pPr>
        <w:numPr>
          <w:ilvl w:val="0"/>
          <w:numId w:val="1005"/>
        </w:numPr>
      </w:pPr>
      <w:r>
        <w:t xml:space="preserve">Jumper, J., Evans, R., Pritzel, A., Green, T., Figurnov, M., Ronneberger, O., Tunyasuvunakool, K., Bates, R., Žídek, A., Potapenko, A. and Bridgland, A., 2021. Highly accurate protein structure prediction with AlphaFold.</w:t>
      </w:r>
      <w:r>
        <w:t xml:space="preserve"> </w:t>
      </w:r>
      <w:r>
        <w:rPr>
          <w:iCs/>
          <w:i/>
        </w:rPr>
        <w:t xml:space="preserve">nature</w:t>
      </w:r>
      <w:r>
        <w:t xml:space="preserve">,</w:t>
      </w:r>
      <w:r>
        <w:t xml:space="preserve"> </w:t>
      </w:r>
      <w:r>
        <w:rPr>
          <w:iCs/>
          <w:i/>
        </w:rPr>
        <w:t xml:space="preserve">596</w:t>
      </w:r>
      <w:r>
        <w:t xml:space="preserve">(7873), pp.583-589.</w:t>
      </w:r>
    </w:p>
    <w:p>
      <w:pPr>
        <w:numPr>
          <w:ilvl w:val="0"/>
          <w:numId w:val="1005"/>
        </w:numPr>
      </w:pPr>
      <w:r>
        <w:t xml:space="preserve">Eblen-Zayas, M., 2015. Comparing electronic and traditional Lab Notebooks in the advanced lab. In</w:t>
      </w:r>
      <w:r>
        <w:t xml:space="preserve"> </w:t>
      </w:r>
      <w:r>
        <w:rPr>
          <w:iCs/>
          <w:i/>
        </w:rPr>
        <w:t xml:space="preserve">Conference on Laboratory Instruction: Beyond the First Year of College, College Park, MD. Retrieved from https://www. compadre. org/Repository/document/ServeFile. cfm</w:t>
      </w:r>
      <w:r>
        <w:t xml:space="preserve">.</w:t>
      </w:r>
    </w:p>
    <w:p>
      <w:pPr>
        <w:numPr>
          <w:ilvl w:val="0"/>
          <w:numId w:val="1005"/>
        </w:numPr>
      </w:pPr>
      <w:r>
        <w:t xml:space="preserve">Wong, B., 2012. Visualizing biological data.</w:t>
      </w:r>
      <w:r>
        <w:t xml:space="preserve"> </w:t>
      </w:r>
      <w:r>
        <w:rPr>
          <w:iCs/>
          <w:i/>
        </w:rPr>
        <w:t xml:space="preserve">Nat Methods</w:t>
      </w:r>
      <w:r>
        <w:t xml:space="preserve">,</w:t>
      </w:r>
      <w:r>
        <w:t xml:space="preserve"> </w:t>
      </w:r>
      <w:r>
        <w:rPr>
          <w:iCs/>
          <w:i/>
        </w:rPr>
        <w:t xml:space="preserve">9</w:t>
      </w:r>
      <w:r>
        <w:t xml:space="preserve">(12), pp.1131-1131.</w:t>
      </w:r>
    </w:p>
    <w:p>
      <w:pPr>
        <w:numPr>
          <w:ilvl w:val="0"/>
          <w:numId w:val="1005"/>
        </w:numPr>
      </w:pPr>
      <w:hyperlink r:id="rId70">
        <w:r>
          <w:rPr>
            <w:rStyle w:val="Hyperlink"/>
          </w:rPr>
          <w:t xml:space="preserve">https://github.com/keller-mark/awesome-biological-visualizations</w:t>
        </w:r>
      </w:hyperlink>
    </w:p>
    <w:p>
      <w:pPr>
        <w:numPr>
          <w:ilvl w:val="0"/>
          <w:numId w:val="1005"/>
        </w:numPr>
      </w:pPr>
      <w:r>
        <w:t xml:space="preserve">Verschaffelt, P., Collier, J., Botzki, A., Martens, L., Dawyndt, P. and Mesuere, B., 2022. Unipept Visualizations: an interactive visualization library for biological data.</w:t>
      </w:r>
      <w:r>
        <w:t xml:space="preserve"> </w:t>
      </w:r>
      <w:r>
        <w:rPr>
          <w:iCs/>
          <w:i/>
        </w:rPr>
        <w:t xml:space="preserve">Bioinformatics</w:t>
      </w:r>
      <w:r>
        <w:t xml:space="preserve">,</w:t>
      </w:r>
      <w:r>
        <w:t xml:space="preserve"> </w:t>
      </w:r>
      <w:r>
        <w:rPr>
          <w:iCs/>
          <w:i/>
        </w:rPr>
        <w:t xml:space="preserve">38</w:t>
      </w:r>
      <w:r>
        <w:t xml:space="preserve">(2), pp.562-563.</w:t>
      </w:r>
    </w:p>
    <w:p>
      <w:pPr>
        <w:numPr>
          <w:ilvl w:val="0"/>
          <w:numId w:val="1005"/>
        </w:numPr>
      </w:pPr>
      <w:r>
        <w:t xml:space="preserve">Kerren, A., Kucher, K., Li, Y.F. and Schreiber, F., 2017. BioVis Explorer: A visual guide for biological data visualization techniques.</w:t>
      </w:r>
      <w:r>
        <w:t xml:space="preserve"> </w:t>
      </w:r>
      <w:r>
        <w:rPr>
          <w:iCs/>
          <w:i/>
        </w:rPr>
        <w:t xml:space="preserve">PLoS One</w:t>
      </w:r>
      <w:r>
        <w:t xml:space="preserve">,</w:t>
      </w:r>
      <w:r>
        <w:t xml:space="preserve"> </w:t>
      </w:r>
      <w:r>
        <w:rPr>
          <w:iCs/>
          <w:i/>
        </w:rPr>
        <w:t xml:space="preserve">12</w:t>
      </w:r>
      <w:r>
        <w:t xml:space="preserve">(11), p.e0187341.</w:t>
      </w:r>
    </w:p>
    <w:bookmarkEnd w:id="71"/>
    <w:bookmarkStart w:id="91" w:name="X03a375a003a4a536321b4aeec36ab16d1fba76d"/>
    <w:p>
      <w:pPr>
        <w:pStyle w:val="Heading1"/>
      </w:pPr>
      <w:r>
        <w:t xml:space="preserve">4. Data Collection for AI-based Protein Engineering</w:t>
      </w:r>
    </w:p>
    <w:bookmarkStart w:id="72" w:name="introduction-2"/>
    <w:p>
      <w:pPr>
        <w:pStyle w:val="Heading2"/>
      </w:pPr>
      <w:r>
        <w:t xml:space="preserve">4.1 Introduction</w:t>
      </w:r>
    </w:p>
    <w:p>
      <w:pPr>
        <w:numPr>
          <w:ilvl w:val="0"/>
          <w:numId w:val="1006"/>
        </w:numPr>
      </w:pPr>
      <w:r>
        <w:t xml:space="preserve">Problems with Protein Engineering</w:t>
      </w:r>
    </w:p>
    <w:p>
      <w:pPr>
        <w:numPr>
          <w:ilvl w:val="0"/>
          <w:numId w:val="1006"/>
        </w:numPr>
      </w:pPr>
      <w:r>
        <w:t xml:space="preserve">AI solutions</w:t>
      </w:r>
    </w:p>
    <w:p>
      <w:pPr>
        <w:numPr>
          <w:ilvl w:val="0"/>
          <w:numId w:val="1006"/>
        </w:numPr>
      </w:pPr>
      <w:r>
        <w:t xml:space="preserve">Problems with AI based Engineering</w:t>
      </w:r>
    </w:p>
    <w:p>
      <w:pPr>
        <w:pStyle w:val="FirstParagraph"/>
      </w:pPr>
      <w:r>
        <w:t xml:space="preserve">Protein engineering involves the continuous collection and analysis of phenotypic and genotypic data to identify advantageous protein variants. Current methods involve either a bottom-up data-driven approach of rational protein design or a top-down high-throughput screening approach of directed evolution to obtain and enhance a specific protein’s activity. Rational engineering requires a comprehensive understanding of the protein’s structural data, mechanism, and ligand interactions, which is often non-transferable to other types of proteins. Directed evolution, on the other hand, focuses on identifying improved candidates through a phenotype-specific selection pressure on a mutant library. This method can be rapidly applied to a wide variety of proteins without necessitating an in-depth understanding of protein mechanisms. However, to obtain large datasets, it is vital to have a method that can both phenotype and genotype variants in a high-throughput manner.</w:t>
      </w:r>
    </w:p>
    <w:p>
      <w:pPr>
        <w:pStyle w:val="BodyText"/>
      </w:pPr>
      <w:r>
        <w:t xml:space="preserve">The advent of Artificial Intelligence (AI) in the exploration of protein landscapes has greatly accelerated identifying and generating new and advantageous variants. Despite the ingenious development of general deep learning (DL) models, a major gap in applying AI for protein engineering is the lack of large labeled, and structured datasets specific to a protein and its activity</w:t>
      </w:r>
      <w:r>
        <w:rPr>
          <w:vertAlign w:val="superscript"/>
        </w:rPr>
        <w:t xml:space="preserve">1</w:t>
      </w:r>
      <w:r>
        <w:t xml:space="preserve">. Obtaining such datasets depends upon experimental methods that often take too long to amass large amounts of reliable data, resulting in a compromise on quality or quantity</w:t>
      </w:r>
      <w:r>
        <w:rPr>
          <w:vertAlign w:val="superscript"/>
        </w:rPr>
        <w:t xml:space="preserve">2</w:t>
      </w:r>
      <w:r>
        <w:t xml:space="preserve">. Without simultaneously accelerating the collection of data, the use of AI for protein engineering may be stuck in a local minimum, constrained by unexplored areas in the protein landscape</w:t>
      </w:r>
      <w:r>
        <w:rPr>
          <w:vertAlign w:val="superscript"/>
        </w:rPr>
        <w:t xml:space="preserve">3</w:t>
      </w:r>
      <w:r>
        <w:t xml:space="preserve">.</w:t>
      </w:r>
    </w:p>
    <w:p>
      <w:pPr>
        <w:pStyle w:val="BodyText"/>
      </w:pPr>
      <w:r>
        <w:t xml:space="preserve">Here, we detail a method to generate large labelled datasets for high-throughput AI-assisted protein engineering (HiAPE). Biosensors and long-read sequencing are the foundational technology for data collection. Automated equipment including liquid handlers may be used to accelerate and scale up wet-lab experiments. Any intermediary software applications are rapidly prototyped using Python and Bash in a containerized Ubuntu environment using Docker and hosted on Streamlit.</w:t>
      </w:r>
    </w:p>
    <w:p>
      <w:pPr>
        <w:pStyle w:val="BodyText"/>
      </w:pPr>
      <w:r>
        <w:t xml:space="preserve">Genetically encoded biosensors can detect internal stimuli into proportional detectable signal</w:t>
      </w:r>
      <w:r>
        <w:rPr>
          <w:vertAlign w:val="superscript"/>
        </w:rPr>
        <w:t xml:space="preserve">4,5</w:t>
      </w:r>
      <w:r>
        <w:t xml:space="preserve">. Numerous strategies involving biosensors and a fluorescence reporter have maximized the use of high-throughput techniques such as fluorescence-activated cell sorting (FACS) to screen through active and inactive variants of proteins easily</w:t>
      </w:r>
      <w:r>
        <w:rPr>
          <w:vertAlign w:val="superscript"/>
        </w:rPr>
        <w:t xml:space="preserve">6,7,8,9</w:t>
      </w:r>
      <w:r>
        <w:t xml:space="preserve">. Unlike conventional protein engineering, mutants resulting in a loss of function are regarded of equal importance as advantageous variants in HiAPE and are used for further analysis. The resulting populations constitute a robust dataset with two labels of low and high activity respectively, which can be subsequently sequenced. From an AI perspective, it is important to have both</w:t>
      </w:r>
      <w:r>
        <w:t xml:space="preserve"> </w:t>
      </w:r>
      <w:r>
        <w:t xml:space="preserve">“</w:t>
      </w:r>
      <w:r>
        <w:t xml:space="preserve">positive</w:t>
      </w:r>
      <w:r>
        <w:t xml:space="preserve">”</w:t>
      </w:r>
      <w:r>
        <w:t xml:space="preserve"> </w:t>
      </w:r>
      <w:r>
        <w:t xml:space="preserve">and</w:t>
      </w:r>
      <w:r>
        <w:t xml:space="preserve"> </w:t>
      </w:r>
      <w:r>
        <w:t xml:space="preserve">“</w:t>
      </w:r>
      <w:r>
        <w:t xml:space="preserve">negative</w:t>
      </w:r>
      <w:r>
        <w:t xml:space="preserve">”</w:t>
      </w:r>
      <w:r>
        <w:t xml:space="preserve"> </w:t>
      </w:r>
      <w:r>
        <w:t xml:space="preserve">data</w:t>
      </w:r>
      <w:r>
        <w:rPr>
          <w:vertAlign w:val="superscript"/>
        </w:rPr>
        <w:t xml:space="preserve">10,11</w:t>
      </w:r>
      <w:r>
        <w:t xml:space="preserve"> or data from multiple classes to develop a successful model that is adequately discriminatory. The biological interpretation of using both low and high-activity data helps pinpoint residues and inter-residue cooperativity that are directly responsible for the protein’s function.</w:t>
      </w:r>
    </w:p>
    <w:p>
      <w:pPr>
        <w:pStyle w:val="BodyText"/>
      </w:pPr>
      <w:r>
        <w:t xml:space="preserve">To overcome the labor-intensive, expensive, and low-throughput of sequencing individual colonies using short-read NGS techniques, such as Sanger or Illumina sequencing, we propose using long-read sequencing of all samples simultaneously. More importantly, by employing long-read sequencing, the full length of the protein and genetic circuit sequences are obtained through which the effects of concurrent mutations can be inferred. Whole populations are mini-prepped, producing a DNA pool of variants that equate to the established phenotype, following which are sequenced using Nanopore. Here, the assumption is that each full read corresponds to a single cell that was sorted, and duplicates arising from multiple plasmids of the same variant can be eliminated computationally. The resulting reads are mapped to the target sequence and filtered based on quality and length using a custom pipeline (Methods: Sequence Data processing). The final dataset ends up being of an order of 10</w:t>
      </w:r>
      <w:r>
        <w:rPr>
          <w:vertAlign w:val="superscript"/>
        </w:rPr>
        <w:t xml:space="preserve">4</w:t>
      </w:r>
      <w:r>
        <w:t xml:space="preserve">-10</w:t>
      </w:r>
      <w:r>
        <w:rPr>
          <w:vertAlign w:val="superscript"/>
        </w:rPr>
        <w:t xml:space="preserve">5</w:t>
      </w:r>
      <w:r>
        <w:t xml:space="preserve"> labeled reads that can now be used to train an AI model.</w:t>
      </w:r>
    </w:p>
    <w:p>
      <w:pPr>
        <w:pStyle w:val="BodyText"/>
      </w:pPr>
      <w:r>
        <w:t xml:space="preserve">The trained AI models narrow the search space by predicting the phenotypes of mutants in an</w:t>
      </w:r>
      <w:r>
        <w:t xml:space="preserve"> </w:t>
      </w:r>
      <w:r>
        <w:rPr>
          <w:iCs/>
          <w:i/>
        </w:rPr>
        <w:t xml:space="preserve">in-silico</w:t>
      </w:r>
      <w:r>
        <w:t xml:space="preserve"> </w:t>
      </w:r>
      <w:r>
        <w:t xml:space="preserve">library. After obtaining a candidate list, liquid handlers can be used to construct the appropriate mutants in parallel and at a large scale. Barcoded-PCR combined with long-read sequencing (Methods) allows to screen through multiple colonies to identify the correctly mutated colonies with a single sequencing run. Lastly, once the candidates are constructed, their activity can be easily evaluated using plate readers based on the genetic circuit fluorescence.</w:t>
      </w:r>
    </w:p>
    <w:p>
      <w:pPr>
        <w:pStyle w:val="BodyText"/>
      </w:pPr>
      <w:r>
        <w:t xml:space="preserve">As a proof of concept, we employed this method to engineer a transcription factor (TF), DmpR, and an enzyme, methyl parathion hydrolase (MPH). Currently, there is limited understanding of the mechanism of both protein functionalities, and each type of protein requires additional considerations that are detailed ahead.</w:t>
      </w:r>
    </w:p>
    <w:bookmarkEnd w:id="72"/>
    <w:bookmarkStart w:id="79" w:name="methods-1"/>
    <w:p>
      <w:pPr>
        <w:pStyle w:val="Heading2"/>
      </w:pPr>
      <w:r>
        <w:t xml:space="preserve">4.2 Methods</w:t>
      </w:r>
    </w:p>
    <w:bookmarkStart w:id="73" w:name="materials-bacterial-strains-and-plasmids"/>
    <w:p>
      <w:pPr>
        <w:pStyle w:val="Heading3"/>
      </w:pPr>
      <w:r>
        <w:t xml:space="preserve">4.2.1 Materials, Bacterial Strains and Plasmids</w:t>
      </w:r>
    </w:p>
    <w:p>
      <w:pPr>
        <w:pStyle w:val="FirstParagraph"/>
      </w:pPr>
      <w:r>
        <w:t xml:space="preserve">All chemicals were purchased from Sigma-Aldrich (Saint Louis, MO). All enzymes were purchases from New England Biolabs, NEB (Ipswich, MA). Nanopore kits and flow cells were purchased from Oxford Nanopore Technology (UK). All enzymatic reactions were performed using the Biometra TRobot II automated PCR cycler (Analytik Jena, Germany).</w:t>
      </w:r>
    </w:p>
    <w:p>
      <w:pPr>
        <w:pStyle w:val="BodyText"/>
      </w:pPr>
      <w:r>
        <w:t xml:space="preserve">All bacterial transformations and fluorescence assays were performed in</w:t>
      </w:r>
      <w:r>
        <w:t xml:space="preserve"> </w:t>
      </w:r>
      <w:r>
        <w:rPr>
          <w:iCs/>
          <w:i/>
        </w:rPr>
        <w:t xml:space="preserve">E. coli</w:t>
      </w:r>
      <w:r>
        <w:t xml:space="preserve"> </w:t>
      </w:r>
      <w:r>
        <w:t xml:space="preserve">strain DH5</w:t>
      </w:r>
      <m:oMath>
        <m:r>
          <m:t>α</m:t>
        </m:r>
      </m:oMath>
      <w:r>
        <w:t xml:space="preserve">. Initial genetic circuits were constructed using Golden Gate with BsmBI and BsaI ends. All constructs were constructed on the pACBB (Addgene MA, USA) vector along with a p15A origin of replication and chloramphenicol resistance. Gibson Assembly from NEB (#E2611) was used to construct plasmids for the mutant library and T4 Ligase for site-directed mutagenesis.</w:t>
      </w:r>
    </w:p>
    <w:bookmarkEnd w:id="73"/>
    <w:bookmarkStart w:id="74" w:name="design-genetic-circuit"/>
    <w:p>
      <w:pPr>
        <w:pStyle w:val="Heading3"/>
      </w:pPr>
      <w:r>
        <w:t xml:space="preserve">4.2.2 Design: Genetic Circuit</w:t>
      </w:r>
    </w:p>
    <w:p>
      <w:pPr>
        <w:pStyle w:val="FirstParagraph"/>
      </w:pPr>
      <w:r>
        <w:t xml:space="preserve">The DmpR construct was a double module adaptation of the GESS system described by SL Choi</w:t>
      </w:r>
      <w:r>
        <w:rPr>
          <w:vertAlign w:val="superscript"/>
        </w:rPr>
        <w:t xml:space="preserve">9</w:t>
      </w:r>
      <w:r>
        <w:t xml:space="preserve"> </w:t>
      </w:r>
      <w:r>
        <w:t xml:space="preserve">into a single plasmid, and the MPH construct was a modified high activity circuit (PH) to detect pesticides performed in a previous study (WJS, 2024). A B0032 ribosome binding site along with constitutive promoters J231109 and J231103 were used for expressing DmpR in the DmpR and MPH circuits respectively. Po, a DmpR-inducible promoter was used to express sfGFP for both constructs. The L2U3H03 terminator was used for DmpR</w:t>
      </w:r>
      <w:r>
        <w:rPr>
          <w:vertAlign w:val="subscript"/>
        </w:rPr>
        <w:t xml:space="preserve">WT</w:t>
      </w:r>
      <w:r>
        <w:t xml:space="preserve"> </w:t>
      </w:r>
      <w:r>
        <w:t xml:space="preserve">and sfGfP in the DmpR construct. The same was used for MPH and sfGFP, and L2U5H11 terminator was used for DmpR</w:t>
      </w:r>
      <w:r>
        <w:rPr>
          <w:vertAlign w:val="subscript"/>
        </w:rPr>
        <w:t xml:space="preserve">CK</w:t>
      </w:r>
      <w:r>
        <w:t xml:space="preserve"> </w:t>
      </w:r>
      <w:r>
        <w:t xml:space="preserve">in the MPH circuit (ref ML). Additionally, a RiboJ insulator was used on sfGFP and MPH. A palindromic sequence present between DmpR</w:t>
      </w:r>
      <w:r>
        <w:rPr>
          <w:vertAlign w:val="subscript"/>
        </w:rPr>
        <w:t xml:space="preserve">CK</w:t>
      </w:r>
      <w:r>
        <w:t xml:space="preserve"> </w:t>
      </w:r>
      <w:r>
        <w:t xml:space="preserve">and sfGFP in the original MPH circuit was replaced with the spacer used in the DmpR circuit. This was done to avoid inconsistencies that may occur during vector backbone elongation resulting in different expression levels of sfGFP (Appendix Figure **#TODO**). The detailed sequences of the plasmids used are provided in the Appendix</w:t>
      </w:r>
      <w:r>
        <w:rPr>
          <w:bCs/>
          <w:b/>
        </w:rPr>
        <w:t xml:space="preserve">.</w:t>
      </w:r>
    </w:p>
    <w:bookmarkEnd w:id="74"/>
    <w:bookmarkStart w:id="75" w:name="build-mutant-library"/>
    <w:p>
      <w:pPr>
        <w:pStyle w:val="Heading3"/>
      </w:pPr>
      <w:r>
        <w:t xml:space="preserve">4.2.3 Build: Mutant Library</w:t>
      </w:r>
    </w:p>
    <w:p>
      <w:pPr>
        <w:pStyle w:val="FirstParagraph"/>
      </w:pPr>
      <w:r>
        <w:t xml:space="preserve">Random mutant library of both DmpR and MPH was generated using the Diversify PCR mutagenesis kit (Takara Bio, Japan) following the manufacturers instructions to generate between 1-4.8 substitutions. Both the vector backbone and mutant library inserts were gel extracted using the Wizard SV Gel and PCR Clean-Up System Kit (A9281; Promega, USA) , treated with 1 U of DpnI (R0176L; NEB) at 37</w:t>
      </w:r>
      <w:r>
        <w:rPr>
          <w:vertAlign w:val="superscript"/>
        </w:rPr>
        <w:t xml:space="preserve">o</w:t>
      </w:r>
      <w:r>
        <w:t xml:space="preserve">C for 1 hour to digest any wild-type plasmids, and cloned using Gibson assembly (#E2611, NEB). The library was transformed into chemically competent DH5</w:t>
      </w:r>
      <m:oMath>
        <m:r>
          <m:t>α</m:t>
        </m:r>
      </m:oMath>
      <w:r>
        <w:t xml:space="preserve"> </w:t>
      </w:r>
      <w:r>
        <w:t xml:space="preserve">cells and spread on a 24.5 x 24.5 x 2.8 cm</w:t>
      </w:r>
      <w:r>
        <w:rPr>
          <w:vertAlign w:val="superscript"/>
        </w:rPr>
        <w:t xml:space="preserve">3</w:t>
      </w:r>
      <w:r>
        <w:t xml:space="preserve"> </w:t>
      </w:r>
      <w:r>
        <w:t xml:space="preserve">Luria-Bertani (LB) plate with chloramphenicol to be incubated at 37</w:t>
      </w:r>
      <w:r>
        <w:rPr>
          <w:vertAlign w:val="superscript"/>
        </w:rPr>
        <w:t xml:space="preserve">o</w:t>
      </w:r>
      <w:r>
        <w:t xml:space="preserve">C. The following morning, libraries were harvested in LB and stored as stock at -80</w:t>
      </w:r>
      <w:r>
        <w:rPr>
          <w:vertAlign w:val="superscript"/>
        </w:rPr>
        <w:t xml:space="preserve">o</w:t>
      </w:r>
      <w:r>
        <w:t xml:space="preserve">C with 25% glycerol. Both libraries sizes were approximately 3 x 10</w:t>
      </w:r>
      <w:r>
        <w:rPr>
          <w:vertAlign w:val="superscript"/>
        </w:rPr>
        <w:t xml:space="preserve">4</w:t>
      </w:r>
      <w:r>
        <w:t xml:space="preserve"> </w:t>
      </w:r>
      <w:r>
        <w:t xml:space="preserve">unique clones.</w:t>
      </w:r>
    </w:p>
    <w:bookmarkEnd w:id="75"/>
    <w:bookmarkStart w:id="77" w:name="test"/>
    <w:p>
      <w:pPr>
        <w:pStyle w:val="Heading3"/>
      </w:pPr>
      <w:r>
        <w:t xml:space="preserve">4.2.4 Test</w:t>
      </w:r>
    </w:p>
    <w:bookmarkStart w:id="76" w:name="phenotyping-with-flow-cytometry"/>
    <w:p>
      <w:pPr>
        <w:pStyle w:val="Heading4"/>
      </w:pPr>
      <w:r>
        <w:t xml:space="preserve">4.2.4.1 Phenotyping with Flow Cytometry</w:t>
      </w:r>
    </w:p>
    <w:p>
      <w:pPr>
        <w:pStyle w:val="FirstParagraph"/>
      </w:pPr>
      <w:r>
        <w:t xml:space="preserve">Liquid-phase substrate induction was used for the DmpR and and solid-phase for MPH. For the liquid-phase induction, the stock mutant library was thawed and added to liquid LB media supplemented with 34</w:t>
      </w:r>
      <m:oMath>
        <m:r>
          <m:t>μ</m:t>
        </m:r>
      </m:oMath>
      <w:r>
        <w:t xml:space="preserve">g/mL chloramphenicol up to an OD of 0.4 and allowed to incubate at 37</w:t>
      </w:r>
      <w:r>
        <w:rPr>
          <w:vertAlign w:val="superscript"/>
        </w:rPr>
        <w:t xml:space="preserve">o</w:t>
      </w:r>
      <w:r>
        <w:t xml:space="preserve">C with (and without) 10</w:t>
      </w:r>
      <w:r>
        <w:t xml:space="preserve"> </w:t>
      </w:r>
      <m:oMath>
        <m:r>
          <m:t>μ</m:t>
        </m:r>
      </m:oMath>
      <w:r>
        <w:t xml:space="preserve">M phenol for 6-8 hrs in a shaker at 220rpm. The solid-phase induction was performed on LB agar plates with 34</w:t>
      </w:r>
      <m:oMath>
        <m:r>
          <m:t>μ</m:t>
        </m:r>
      </m:oMath>
      <w:r>
        <w:t xml:space="preserve">g/mL chloramphenicol, on which substrates EPN, dissolved in 500</w:t>
      </w:r>
      <m:oMath>
        <m:r>
          <m:t>μ</m:t>
        </m:r>
      </m:oMath>
      <w:r>
        <w:t xml:space="preserve">l DMSO were first spread on to obtain a final concentration of 10</w:t>
      </w:r>
      <w:r>
        <w:t xml:space="preserve"> </w:t>
      </w:r>
      <m:oMath>
        <m:r>
          <m:t>μ</m:t>
        </m:r>
      </m:oMath>
      <w:r>
        <w:t xml:space="preserve">M respectively; stock cells of up to 0.05 OD (~20,000 colonies) were spread on the substrate plate and allowed to grow in 37</w:t>
      </w:r>
      <w:r>
        <w:rPr>
          <w:vertAlign w:val="superscript"/>
        </w:rPr>
        <w:t xml:space="preserve">o</w:t>
      </w:r>
      <w:r>
        <w:t xml:space="preserve">C overnight (16 hours) after which it was harvested for further flow cytometry analysis.</w:t>
      </w:r>
    </w:p>
    <w:p>
      <w:pPr>
        <w:pStyle w:val="BodyText"/>
      </w:pPr>
      <w:r>
        <w:t xml:space="preserve">Each culture sample was added to PBS at a 1:100 ratio to be analyzed and sorted with FACSAriaIII (BD Biosciences, Franklin Lakes, NJ), running on the BD FACSDiva v7.0 software. Fluorescence from sfGFP was observed using a blue laser (488nm) and a BP filter (530/30 nm), and cells were sorted with a 70</w:t>
      </w:r>
      <w:r>
        <w:t xml:space="preserve"> </w:t>
      </w:r>
      <m:oMath>
        <m:r>
          <m:t>μ</m:t>
        </m:r>
      </m:oMath>
      <w:r>
        <w:t xml:space="preserve">m nozzle. Gates based on 1% of the high and ??% of the low population WT expression levels were used to sort 20,000 and 50,000 cells from the DmpR and MPH mutant library respectively. Sorted cells were plated on two 90mm LB agar plates supplemented with chloramphenicol for DmpR analysis, and on a 150mm LB plate with chloramphenicol and substrate for MPH analysis. Subsequent rounds (two for DmpR, three for MPH) were performed till the population graphs for low expression and high expression were distinct and had no overlaps</w:t>
      </w:r>
    </w:p>
    <w:p>
      <w:pPr>
        <w:pStyle w:val="BodyText"/>
      </w:pPr>
      <w:r>
        <w:t xml:space="preserve">All the samples were visualized on the FACS Visualizing tool described in Chapter 2</w:t>
      </w:r>
    </w:p>
    <w:bookmarkEnd w:id="76"/>
    <w:bookmarkEnd w:id="77"/>
    <w:bookmarkStart w:id="78" w:name="genotyping-with-a-long-read-sequencer"/>
    <w:p>
      <w:pPr>
        <w:pStyle w:val="Heading3"/>
      </w:pPr>
      <w:r>
        <w:t xml:space="preserve">4.2.5 Genotyping with a Long-read Sequencer</w:t>
      </w:r>
    </w:p>
    <w:p>
      <w:pPr>
        <w:pStyle w:val="FirstParagraph"/>
      </w:pPr>
      <w:r>
        <w:t xml:space="preserve">Final round samples were grown from respective stock solutions up to 1 OD in 5ml LB solution at 37</w:t>
      </w:r>
      <w:r>
        <w:rPr>
          <w:vertAlign w:val="superscript"/>
        </w:rPr>
        <w:t xml:space="preserve">o</w:t>
      </w:r>
      <w:r>
        <w:t xml:space="preserve">C in a shaking incubator. Plasmids were extracted using the Wizard Plus SV Miniprep Kit (A1330, Promega, USA) to provide 1000-3000ng of DNA. As Nanopore sequencing works with linear DNA, these plasmids were linearized using a restriction enzyme and phosphate groups were removed using a phosphatase to prevent the sticky ends from ligating again. Here, we treated the plasmids with 1 U of EcoRI-HF (R3101S; NEB) and Alkaline Phosphatase (M0371S; NEB) for 2 hours at 37</w:t>
      </w:r>
      <w:r>
        <w:rPr>
          <w:vertAlign w:val="superscript"/>
        </w:rPr>
        <w:t xml:space="preserve">o</w:t>
      </w:r>
      <w:r>
        <w:t xml:space="preserve">C and inactivated at 85</w:t>
      </w:r>
      <w:r>
        <w:rPr>
          <w:vertAlign w:val="superscript"/>
        </w:rPr>
        <w:t xml:space="preserve">o</w:t>
      </w:r>
      <w:r>
        <w:t xml:space="preserve">C for 20 minutes on a thermocycler. A single EcoRI restriction site was present at a distance of 135bp and 175bp from DmpR</w:t>
      </w:r>
      <w:r>
        <w:rPr>
          <w:vertAlign w:val="subscript"/>
        </w:rPr>
        <w:t xml:space="preserve">WT</w:t>
      </w:r>
      <w:r>
        <w:t xml:space="preserve"> </w:t>
      </w:r>
      <w:r>
        <w:t xml:space="preserve">and MPH respectively, which allowed for accurate sequencing. The transposase-based Rapid Barcoding Kit (SQK-RBK114.24) by ONT that allows for a single random nick in plasmids can also be used to linearize the DNA, however, to have increased yield and control during data processing, the restriction enzyme protocol was implemented.</w:t>
      </w:r>
    </w:p>
    <w:p>
      <w:pPr>
        <w:pStyle w:val="BodyText"/>
      </w:pPr>
      <w:r>
        <w:t xml:space="preserve">Nanopore sample preparation was performed using the Native Barcoding Kit 24 V14 (SQK-NBD114.24). DNA loss was minimized by implementing the following modifications to the SQK-NBD114.24:</w:t>
      </w:r>
    </w:p>
    <w:p>
      <w:pPr>
        <w:numPr>
          <w:ilvl w:val="0"/>
          <w:numId w:val="1007"/>
        </w:numPr>
      </w:pPr>
      <w:r>
        <w:t xml:space="preserve">Initial volumes were 50</w:t>
      </w:r>
      <w:r>
        <w:t xml:space="preserve"> </w:t>
      </w:r>
      <m:oMath>
        <m:r>
          <m:t>μ</m:t>
        </m:r>
      </m:oMath>
      <w:r>
        <w:rPr>
          <w:iCs/>
          <w:i/>
        </w:rPr>
        <w:t xml:space="preserve">l</w:t>
      </w:r>
      <w:r>
        <w:t xml:space="preserve">, resulting in the volumes of the enzymes and AMPure XP beads used for the initial DNA-repair and End-prep step to be adjusted as well.</w:t>
      </w:r>
    </w:p>
    <w:p>
      <w:pPr>
        <w:numPr>
          <w:ilvl w:val="0"/>
          <w:numId w:val="1007"/>
        </w:numPr>
      </w:pPr>
      <w:r>
        <w:t xml:space="preserve">Due to loss of DNA during sample preparation, the initial amount of DNA used was ~2</w:t>
      </w:r>
      <w:r>
        <w:t xml:space="preserve"> </w:t>
      </w:r>
      <m:oMath>
        <m:r>
          <m:t>μ</m:t>
        </m:r>
      </m:oMath>
      <w:r>
        <w:t xml:space="preserve">g for each sample as opposed to 1</w:t>
      </w:r>
      <w:r>
        <w:t xml:space="preserve"> </w:t>
      </w:r>
      <m:oMath>
        <m:r>
          <m:t>μ</m:t>
        </m:r>
      </m:oMath>
      <w:r>
        <w:t xml:space="preserve">g.</w:t>
      </w:r>
    </w:p>
    <w:p>
      <w:pPr>
        <w:numPr>
          <w:ilvl w:val="0"/>
          <w:numId w:val="1007"/>
        </w:numPr>
      </w:pPr>
      <w:r>
        <w:t xml:space="preserve">Elution conditions for all steps were for 20 min at 37</w:t>
      </w:r>
      <w:r>
        <w:rPr>
          <w:vertAlign w:val="superscript"/>
        </w:rPr>
        <w:t xml:space="preserve">o</w:t>
      </w:r>
      <w:r>
        <w:t xml:space="preserve">C.</w:t>
      </w:r>
    </w:p>
    <w:p>
      <w:pPr>
        <w:pStyle w:val="FirstParagraph"/>
      </w:pPr>
      <w:r>
        <w:t xml:space="preserve">To maximize outputs for each sample, not more than 4 samples were inputted at the same time with the help of the Nanopore Barcodes.</w:t>
      </w:r>
    </w:p>
    <w:p>
      <w:pPr>
        <w:pStyle w:val="BodyText"/>
      </w:pPr>
      <w:r>
        <w:t xml:space="preserve">All sequencing was performed at 37</w:t>
      </w:r>
      <w:r>
        <w:rPr>
          <w:vertAlign w:val="superscript"/>
        </w:rPr>
        <w:t xml:space="preserve">o</w:t>
      </w:r>
      <w:r>
        <w:t xml:space="preserve">C using MinION flow cells (R.10.4.1 chemistry) on a GridION (ONT, UK) operated by ONT’s proprietary software, MinKNOW. Flow cells with more than approximately 800 pores were used for sequencing the sorted samples and the run lasted 30 hours. The flow cells were washed with the Flow Cell Wash Kit (EXP-WSH001). The raw nanopore POD5 reads were then basecalled using the Super Accurate models in Dorado offered by ONT and saved as FASTQ files with 4000 reads in each file.</w:t>
      </w:r>
    </w:p>
    <w:bookmarkEnd w:id="78"/>
    <w:bookmarkEnd w:id="79"/>
    <w:bookmarkStart w:id="84" w:name="learn"/>
    <w:p>
      <w:pPr>
        <w:pStyle w:val="Heading2"/>
      </w:pPr>
      <w:r>
        <w:t xml:space="preserve">4.3 Learn</w:t>
      </w:r>
    </w:p>
    <w:bookmarkStart w:id="80" w:name="sequence-data-preprocessing"/>
    <w:p>
      <w:pPr>
        <w:pStyle w:val="Heading3"/>
      </w:pPr>
      <w:r>
        <w:t xml:space="preserve">4.3.1 Sequence Data Preprocessing</w:t>
      </w:r>
    </w:p>
    <w:p>
      <w:pPr>
        <w:pStyle w:val="FirstParagraph"/>
      </w:pPr>
      <w:r>
        <w:t xml:space="preserve">The reads were first mapped to the WT sequence using Minimap2</w:t>
      </w:r>
      <w:r>
        <w:rPr>
          <w:vertAlign w:val="superscript"/>
        </w:rPr>
        <w:t xml:space="preserve">20</w:t>
      </w:r>
      <w:r>
        <w:t xml:space="preserve"> </w:t>
      </w:r>
      <w:r>
        <w:t xml:space="preserve">to make SAM files, which were then consolidated, sorted, and managed using SAMtools</w:t>
      </w:r>
      <w:r>
        <w:rPr>
          <w:vertAlign w:val="superscript"/>
        </w:rPr>
        <w:t xml:space="preserve">21</w:t>
      </w:r>
      <w:r>
        <w:t xml:space="preserve">. As we needed the entire length of the reads, BEDtools</w:t>
      </w:r>
      <w:r>
        <w:rPr>
          <w:vertAlign w:val="superscript"/>
        </w:rPr>
        <w:t xml:space="preserve">22</w:t>
      </w:r>
      <w:r>
        <w:t xml:space="preserve"> </w:t>
      </w:r>
      <w:r>
        <w:t xml:space="preserve">was used to identify fully mapped reads and a custom python script was used to extract these reads by name. For observing the variance across the different rounds, command line IGVtools</w:t>
      </w:r>
      <w:r>
        <w:rPr>
          <w:vertAlign w:val="superscript"/>
        </w:rPr>
        <w:t xml:space="preserve">23</w:t>
      </w:r>
      <w:r>
        <w:t xml:space="preserve"> </w:t>
      </w:r>
      <w:r>
        <w:t xml:space="preserve">was used to generate WIG files on the distribution of nucleotides observed at each position. All third-party software was incorporated into a single Docker</w:t>
      </w:r>
      <w:r>
        <w:rPr>
          <w:vertAlign w:val="superscript"/>
        </w:rPr>
        <w:t xml:space="preserve">24</w:t>
      </w:r>
      <w:r>
        <w:t xml:space="preserve"> </w:t>
      </w:r>
      <w:r>
        <w:t xml:space="preserve">container for ease of use and custom scripts are available on GitHub (Availablility of Data and Code).</w:t>
      </w:r>
    </w:p>
    <w:bookmarkEnd w:id="80"/>
    <w:bookmarkStart w:id="81" w:name="training-deep-learning-models"/>
    <w:p>
      <w:pPr>
        <w:pStyle w:val="Heading3"/>
      </w:pPr>
      <w:r>
        <w:t xml:space="preserve">4.3.2 Training Deep Learning Models</w:t>
      </w:r>
    </w:p>
    <w:p>
      <w:pPr>
        <w:pStyle w:val="FirstParagraph"/>
      </w:pPr>
      <w:r>
        <w:t xml:space="preserve">All processed sequences were encoded using the one-hot encoded method. To account for any sequencing errors (insertions/deletions) the reads were padded 1% more than the target sequence length. The encoded sequences were then divided into training, validation and testing datasets in a 2:1:1 manner. The CNN were built using tensorflow (v2.12.0) in Python. A skeleton CNN model architecture for which the hyperparameters such as number of layers, number of epochs, activation functions, size of the filters, along with the optimization function used. A Bayesian optimization function (scikit-optimize v0.9.0) was utilized to select for appropriate hyperparameters by using the validation MCC metric as the scorer. The model with the best validation MCC score was selected. The models being binary classifications, the final Dense Layers were fixed and were activated with a sigmoid function.</w:t>
      </w:r>
    </w:p>
    <w:p>
      <w:pPr>
        <w:pStyle w:val="BodyText"/>
      </w:pPr>
      <w:r>
        <w:t xml:space="preserve">For the DmpR circuit, the input dimensions were [1784, 4,</w:t>
      </w:r>
      <w:r>
        <w:t xml:space="preserve"> </w:t>
      </w:r>
      <m:oMath>
        <m:r>
          <m:t>n</m:t>
        </m:r>
      </m:oMath>
      <w:r>
        <w:t xml:space="preserve">], which correspond to [length of padded DmpR sequences, nucleotide, number of reads]. The Signal phenotype’s final model comprised of 3 Conv1D layers with 49 filters with a MaxPooling layer between each convolution layer resulting in total parameters of 34,342. The background model had 3 Conv1D layers with 200 filters in each Conv1D layer and resulted in total 268,150 trainable parameters. Multi-label classification was done by running the trained signal and background models simultaneously on the same</w:t>
      </w:r>
      <w:r>
        <w:t xml:space="preserve"> </w:t>
      </w:r>
      <w:r>
        <w:rPr>
          <w:iCs/>
          <w:i/>
        </w:rPr>
        <w:t xml:space="preserve">in-silico</w:t>
      </w:r>
      <w:r>
        <w:t xml:space="preserve"> </w:t>
      </w:r>
      <w:r>
        <w:t xml:space="preserve">mutant library. The predicted sorted samples were first sorted in increasing order of the background as lower background was given a higher preference.</w:t>
      </w:r>
    </w:p>
    <w:p>
      <w:pPr>
        <w:pStyle w:val="BodyText"/>
      </w:pPr>
      <w:r>
        <w:t xml:space="preserve">In the case of MPH, The model had input dimensions of [1000, 4, n]. After optimizing its hyperparameters, the final model had 4 Conv1D layers with 200 filters in each layer and resulted in 490,433 trainable parameters.</w:t>
      </w:r>
    </w:p>
    <w:bookmarkEnd w:id="81"/>
    <w:bookmarkStart w:id="82" w:name="predicting-multiple-phenotypes"/>
    <w:p>
      <w:pPr>
        <w:pStyle w:val="Heading3"/>
      </w:pPr>
      <w:r>
        <w:t xml:space="preserve">4.3.3 Predicting Multiple Phenotypes</w:t>
      </w:r>
    </w:p>
    <w:p>
      <w:pPr>
        <w:pStyle w:val="FirstParagraph"/>
      </w:pPr>
      <w:r>
        <w:t xml:space="preserve">Multi-label classification was done by running the trained signal and background models simultaneously on the same</w:t>
      </w:r>
      <w:r>
        <w:t xml:space="preserve"> </w:t>
      </w:r>
      <w:r>
        <w:rPr>
          <w:iCs/>
          <w:i/>
        </w:rPr>
        <w:t xml:space="preserve">in-silico</w:t>
      </w:r>
      <w:r>
        <w:t xml:space="preserve"> </w:t>
      </w:r>
      <w:r>
        <w:t xml:space="preserve">mutant library. The predicted sorted samples were first sorted in increasing order of the background as lower background was given a higher preference.</w:t>
      </w:r>
    </w:p>
    <w:p>
      <w:pPr>
        <w:numPr>
          <w:ilvl w:val="0"/>
          <w:numId w:val="1008"/>
        </w:numPr>
        <w:pStyle w:val="Compact"/>
      </w:pPr>
      <w:r>
        <w:t xml:space="preserve">Binary Relevance vs Classifier vs Multiclass Classifications</w:t>
      </w:r>
    </w:p>
    <w:bookmarkEnd w:id="82"/>
    <w:bookmarkStart w:id="83" w:name="analyzing-data-for-visualization"/>
    <w:p>
      <w:pPr>
        <w:pStyle w:val="Heading3"/>
      </w:pPr>
      <w:r>
        <w:t xml:space="preserve">4.3.4 Analyzing Data for Visualization</w:t>
      </w:r>
    </w:p>
    <w:p>
      <w:pPr>
        <w:pStyle w:val="FirstParagraph"/>
      </w:pPr>
      <w:r>
        <w:t xml:space="preserve">To observe the spread and variation in the error-prone PCR mutagenesis, the mutant library and WT were sequence at the same time. Nanopore sequencing with R10.4.1 chemistry and SUP basecalling is known to have a single read accuracy of ~99.5%</w:t>
      </w:r>
      <w:r>
        <w:rPr>
          <w:vertAlign w:val="superscript"/>
        </w:rPr>
        <w:t xml:space="preserve">25</w:t>
      </w:r>
      <w:r>
        <w:t xml:space="preserve"> </w:t>
      </w:r>
      <w:r>
        <w:rPr>
          <w:bCs/>
          <w:b/>
        </w:rPr>
        <w:t xml:space="preserve">(Supplementary Data 9)</w:t>
      </w:r>
      <w:r>
        <w:t xml:space="preserve">, suggesting there are ~5 errors per kb. Here, the variance in WT sequenced reads are used as a threshold for the error rate in the mutant library.</w:t>
      </w:r>
    </w:p>
    <w:p>
      <w:pPr>
        <w:pStyle w:val="BodyText"/>
      </w:pPr>
      <w:r>
        <w:t xml:space="preserve">The variation</w:t>
      </w:r>
      <w:r>
        <w:t xml:space="preserve"> </w:t>
      </w:r>
      <m:oMath>
        <m:r>
          <m:t>v</m:t>
        </m:r>
      </m:oMath>
      <w:r>
        <w:t xml:space="preserve"> </w:t>
      </w:r>
      <w:r>
        <w:t xml:space="preserve">at a specific position</w:t>
      </w:r>
      <w:r>
        <w:t xml:space="preserve"> </w:t>
      </w:r>
      <m:oMath>
        <m:r>
          <m:t>i</m:t>
        </m:r>
      </m:oMath>
      <w:r>
        <w:t xml:space="preserve"> </w:t>
      </w:r>
      <w:r>
        <w:t xml:space="preserve">can be defined as:</w:t>
      </w:r>
    </w:p>
    <w:p>
      <w:pPr>
        <w:pStyle w:val="BodyText"/>
      </w:pPr>
      <w:r>
        <w:t xml:space="preserve">$$ v_i = {\sum n_i' \over n_i} * 100 $$</w:t>
      </w:r>
    </w:p>
    <w:p>
      <w:pPr>
        <w:pStyle w:val="FirstParagraph"/>
      </w:pPr>
      <w:r>
        <w:t xml:space="preserve">where</w:t>
      </w:r>
      <w:r>
        <w:t xml:space="preserve"> </w:t>
      </w:r>
      <m:oMath>
        <m:sSub>
          <m:e>
            <m:r>
              <m:t>n</m:t>
            </m:r>
          </m:e>
          <m:sub>
            <m:r>
              <m:t>i</m:t>
            </m:r>
          </m:sub>
        </m:sSub>
        <m:r>
          <m:rPr>
            <m:sty m:val="p"/>
          </m:rPr>
          <m:t>′</m:t>
        </m:r>
      </m:oMath>
      <w:r>
        <w:t xml:space="preserve"> </w:t>
      </w:r>
      <w:r>
        <w:t xml:space="preserve">are the occurrences of all nucleotides excluding WT and</w:t>
      </w:r>
      <w:r>
        <w:t xml:space="preserve"> </w:t>
      </w:r>
      <m:oMath>
        <m:sSub>
          <m:e>
            <m:r>
              <m:t>n</m:t>
            </m:r>
          </m:e>
          <m:sub>
            <m:r>
              <m:t>i</m:t>
            </m:r>
          </m:sub>
        </m:sSub>
      </m:oMath>
      <w:r>
        <w:t xml:space="preserve"> </w:t>
      </w:r>
      <w:r>
        <w:t xml:space="preserve">are the occurrences of the WT nucleotides at position</w:t>
      </w:r>
      <w:r>
        <w:t xml:space="preserve"> </w:t>
      </w:r>
      <m:oMath>
        <m:r>
          <m:t>i</m:t>
        </m:r>
      </m:oMath>
      <w:r>
        <w:t xml:space="preserve"> </w:t>
      </w:r>
      <w:r>
        <w:t xml:space="preserve">in a sequence run of a single population.</w:t>
      </w:r>
    </w:p>
    <w:p>
      <w:pPr>
        <w:pStyle w:val="BodyText"/>
      </w:pPr>
      <w:r>
        <w:t xml:space="preserve">We define the variation of the</w:t>
      </w:r>
      <w:r>
        <w:t xml:space="preserve"> </w:t>
      </w:r>
      <m:oMath>
        <m:r>
          <m:t>i</m:t>
        </m:r>
      </m:oMath>
      <w:r>
        <w:t xml:space="preserve">th nucleotide in the mutant library as:</w:t>
      </w:r>
    </w:p>
    <w:p>
      <w:pPr>
        <w:pStyle w:val="BodyText"/>
      </w:pPr>
      <w:r>
        <w:t xml:space="preserve">$$ V_i = ({\sum ml_i' \over ml_i} * 100 ) - ({\sum wt_i' \over wt_i} * 100 ) $$</w:t>
      </w:r>
    </w:p>
    <w:p>
      <w:pPr>
        <w:pStyle w:val="FirstParagraph"/>
      </w:pPr>
      <w:r>
        <w:t xml:space="preserve">where</w:t>
      </w:r>
      <w:r>
        <w:t xml:space="preserve"> </w:t>
      </w:r>
      <m:oMath>
        <m:r>
          <m:t>m</m:t>
        </m:r>
        <m:r>
          <m:t>l</m:t>
        </m:r>
      </m:oMath>
      <w:r>
        <w:t xml:space="preserve"> </w:t>
      </w:r>
      <w:r>
        <w:t xml:space="preserve">refers to the mutant library sequenced samples and</w:t>
      </w:r>
      <w:r>
        <w:t xml:space="preserve"> </w:t>
      </w:r>
      <m:oMath>
        <m:r>
          <m:t>w</m:t>
        </m:r>
        <m:r>
          <m:t>t</m:t>
        </m:r>
      </m:oMath>
      <w:r>
        <w:t xml:space="preserve"> </w:t>
      </w:r>
      <w:r>
        <w:t xml:space="preserve">refers to the the WT sequenced samples.</w:t>
      </w:r>
    </w:p>
    <w:p>
      <w:pPr>
        <w:pStyle w:val="BodyText"/>
      </w:pPr>
      <w:r>
        <w:t xml:space="preserve">All graphs were constructed on python using the seaborn package (v0.13.0) in Python. Data from FACS was analyzed using the FlowCal package (v1.3.0)</w:t>
      </w:r>
      <w:r>
        <w:rPr>
          <w:vertAlign w:val="superscript"/>
        </w:rPr>
        <w:t xml:space="preserve">26</w:t>
      </w:r>
      <w:r>
        <w:t xml:space="preserve"> </w:t>
      </w:r>
      <w:r>
        <w:t xml:space="preserve">and visualized using seaborn. WIG files of sequenced mutant libraries generated using IGVtools</w:t>
      </w:r>
      <w:r>
        <w:rPr>
          <w:vertAlign w:val="superscript"/>
        </w:rPr>
        <w:t xml:space="preserve">23</w:t>
      </w:r>
      <w:r>
        <w:t xml:space="preserve"> </w:t>
      </w:r>
      <w:r>
        <w:t xml:space="preserve">provided positional nucleotide information and visualized using seaborn. Streamlit applications for both were constructed for public use ().</w:t>
      </w:r>
    </w:p>
    <w:bookmarkEnd w:id="83"/>
    <w:bookmarkEnd w:id="84"/>
    <w:bookmarkStart w:id="89" w:name="results-1"/>
    <w:p>
      <w:pPr>
        <w:pStyle w:val="Heading2"/>
      </w:pPr>
      <w:r>
        <w:t xml:space="preserve">4.4 Results</w:t>
      </w:r>
    </w:p>
    <w:bookmarkStart w:id="85" w:name="engineering-dmpr-for-improved-signal"/>
    <w:p>
      <w:pPr>
        <w:pStyle w:val="Heading3"/>
      </w:pPr>
      <w:r>
        <w:t xml:space="preserve">4.4.1 Engineering DmpR for Improved Signal</w:t>
      </w:r>
    </w:p>
    <w:p>
      <w:pPr>
        <w:pStyle w:val="FirstParagraph"/>
      </w:pPr>
      <w:r>
        <w:t xml:space="preserve">DmpR is an NtrC-like regulatory protein that is activated in the presence of phenol</w:t>
      </w:r>
      <w:r>
        <w:rPr>
          <w:vertAlign w:val="superscript"/>
        </w:rPr>
        <w:t xml:space="preserve">12</w:t>
      </w:r>
      <w:r>
        <w:t xml:space="preserve">. A biosensor constructed using DmpR has been shown to detect phenol and various phenolic compounds</w:t>
      </w:r>
      <w:r>
        <w:rPr>
          <w:vertAlign w:val="superscript"/>
        </w:rPr>
        <w:t xml:space="preserve">13,14</w:t>
      </w:r>
      <w:r>
        <w:t xml:space="preserve">(Figure 1A). Here, we engineer DmpR to have higher activity in 10μM phenol. The diverse DmpR mutant library is sorted into two populations, low and high, depending upon their fluorescence in the presence of phenol. These populations undergo two rounds of sorting till the resulting populations diverge without much overlap in their fluorescent response to phenol (Figure 1B). The resulting populations are sequenced and processed to compose a labelled dataset of advantageous and disadvantageous mutants of DmpR. The high and low signal populations show variation across different DmpR amino acids (Figure 1C). A simple binary classification convolutional neural networks (CNN) model is trained and optimized on the dataset to have a final accuracy of 89%. The model was then used to predict the likelihood of a mutant from a single mutation</w:t>
      </w:r>
      <w:r>
        <w:t xml:space="preserve"> </w:t>
      </w:r>
      <w:r>
        <w:rPr>
          <w:iCs/>
          <w:i/>
        </w:rPr>
        <w:t xml:space="preserve">in-silico</w:t>
      </w:r>
      <w:r>
        <w:t xml:space="preserve"> </w:t>
      </w:r>
      <w:r>
        <w:t xml:space="preserve">mutant library (n = 60,000) of DmpR to be of low or high activity. Top 10 candidates predicted to have low and high activity were experimentally evaluated and found to have an accuracy of 70%. These 20 samples were used as a validation dataset to improve the model to give a final accuracy of 80% (Figure 1D and E). Previously reported variants of DmpR, such as E135K</w:t>
      </w:r>
      <w:r>
        <w:rPr>
          <w:vertAlign w:val="superscript"/>
        </w:rPr>
        <w:t xml:space="preserve">15</w:t>
      </w:r>
      <w:r>
        <w:t xml:space="preserve"> were also predicted to have the correct phenotype.</w:t>
      </w:r>
    </w:p>
    <w:p>
      <w:pPr>
        <w:pStyle w:val="BodyText"/>
      </w:pPr>
      <w:r>
        <w:t xml:space="preserve">Contrarily, it was observed that high-fluorescence sorted populations with phenol (Signal) also had high fluorescence without it (Background). Additionally, the original high-activity population exhibited similarly high background, suggesting that that the majority of</w:t>
      </w:r>
      <w:r>
        <w:t xml:space="preserve"> </w:t>
      </w:r>
      <w:r>
        <w:t xml:space="preserve">“</w:t>
      </w:r>
      <w:r>
        <w:t xml:space="preserve">high</w:t>
      </w:r>
      <w:r>
        <w:t xml:space="preserve">”</w:t>
      </w:r>
      <w:r>
        <w:t xml:space="preserve"> </w:t>
      </w:r>
      <w:r>
        <w:t xml:space="preserve">variants are always in an active state, binding to sfGFP’s promoter regardless if the substratee binds to the protein or not characterizing it as dysfunctional and non-specific transcriptional activity. Inducible transcription factors, like DmpR are expected to have high signal while maintaining low background, exhibiting high sensitivity and selectivity. These properties are considered independent of each other due to experimental limitations of testing them simultaneously, making it a multi-objective</w:t>
      </w:r>
      <w:r>
        <w:rPr>
          <w:vertAlign w:val="superscript"/>
        </w:rPr>
        <w:t xml:space="preserve">1</w:t>
      </w:r>
      <w:r>
        <w:t xml:space="preserve"> </w:t>
      </w:r>
      <w:r>
        <w:t xml:space="preserve">engineering problem. This is challenging when datasets come from multiple sources which can introduce numerous inconsistencies due to varying biases of different experimental methods.</w:t>
      </w:r>
    </w:p>
    <w:bookmarkEnd w:id="85"/>
    <w:bookmarkStart w:id="86" w:name="engineering-dmpr-for-reduced-background"/>
    <w:p>
      <w:pPr>
        <w:pStyle w:val="Heading3"/>
      </w:pPr>
      <w:r>
        <w:t xml:space="preserve">4.4.2 Engineering DmpR for reduced Background</w:t>
      </w:r>
    </w:p>
    <w:p>
      <w:pPr>
        <w:pStyle w:val="FirstParagraph"/>
      </w:pPr>
      <w:r>
        <w:t xml:space="preserve">To overcome this challenge, we employed HiAPE with the same mutant library in the absence of phenol, considering background as a second phenotype (Figure 2). This resulted in a separate model that could predict the background of a given DmpR mutated sequence The final two populations used are not entirely distinct and exhibit considerable overlap in activity, which permits the potential for mutants existing in both populations and lack of significant variability in the populations (Figure 2B). Nonetheless, it is expected that sustained sorting will significantly reduce mutant diversity, thereby compromising the overall quality of the dataset. The final optimized trained CNN model of background had an accuracy of 80%.</w:t>
      </w:r>
    </w:p>
    <w:bookmarkEnd w:id="86"/>
    <w:bookmarkStart w:id="87" w:name="engineering-dmpr-for-multiple-phenotypes"/>
    <w:p>
      <w:pPr>
        <w:pStyle w:val="Heading3"/>
      </w:pPr>
      <w:r>
        <w:t xml:space="preserve">4.4.3 Engineering DmpR for Multiple Phenotypes</w:t>
      </w:r>
    </w:p>
    <w:p>
      <w:pPr>
        <w:pStyle w:val="FirstParagraph"/>
      </w:pPr>
      <w:r>
        <w:t xml:space="preserve">As both Signal and Background datasets stem from the same mutant library obtained with a standardized method, the models can be used in tandem to identify an ideal DmpR candidate. A binary relevance multi-label classification is obtained using a combination of the outputs from the the signal and background models on a single mutation</w:t>
      </w:r>
      <w:r>
        <w:t xml:space="preserve"> </w:t>
      </w:r>
      <w:r>
        <w:rPr>
          <w:iCs/>
          <w:i/>
        </w:rPr>
        <w:t xml:space="preserve">in-silico</w:t>
      </w:r>
      <w:r>
        <w:t xml:space="preserve"> </w:t>
      </w:r>
      <w:r>
        <w:t xml:space="preserve">library (Figure 3A). Predicted candidates were first sorted based on low background and then for high signal.</w:t>
      </w:r>
    </w:p>
    <w:bookmarkEnd w:id="87"/>
    <w:bookmarkStart w:id="88" w:name="engineering-mph-for-improved-activity"/>
    <w:p>
      <w:pPr>
        <w:pStyle w:val="Heading3"/>
      </w:pPr>
      <w:r>
        <w:t xml:space="preserve">4.4.4 Engineering MPH for improved Activity</w:t>
      </w:r>
    </w:p>
    <w:p>
      <w:pPr>
        <w:pStyle w:val="FirstParagraph"/>
      </w:pPr>
      <w:r>
        <w:t xml:space="preserve">To test for a wider application, we attempt to engineer an enzyme using HiAIPE. In a recent study, an MPH-based Genetic Enzyme Screening System (GESS)</w:t>
      </w:r>
      <w:r>
        <w:rPr>
          <w:vertAlign w:val="superscript"/>
        </w:rPr>
        <w:t xml:space="preserve">9</w:t>
      </w:r>
      <w:r>
        <w:t xml:space="preserve"> </w:t>
      </w:r>
      <w:r>
        <w:t xml:space="preserve">biosensor was constructed to break down toxic pesticides such as fenitrothion, chlorpyrifos, and ethyl p-nitrophenyl phenylphosphate (EPN)</w:t>
      </w:r>
      <w:r>
        <w:rPr>
          <w:vertAlign w:val="superscript"/>
        </w:rPr>
        <w:t xml:space="preserve">16</w:t>
      </w:r>
      <w:r>
        <w:t xml:space="preserve">. The nested genetic circuit is set up such that the substrate, here EPN is broken down by MPH, and the consequent product, para-Nitrophenol (pNP) binds to DmpR</w:t>
      </w:r>
      <w:r>
        <w:rPr>
          <w:vertAlign w:val="subscript"/>
        </w:rPr>
        <w:t xml:space="preserve">CK</w:t>
      </w:r>
      <w:r>
        <w:t xml:space="preserve"> </w:t>
      </w:r>
      <w:r>
        <w:t xml:space="preserve">and causes the expression of sfGFP (Figure 2G). However, as MPH is a membrane protein, activity from a highly active protein can directly influence the fluorescence of neighbouring cells providing a dataset that has large number of false positives. To localize the effect of pNP, solid-phase screening was employed. Here, MPH was engineered to degrade 10</w:t>
      </w:r>
      <m:oMath>
        <m:r>
          <m:t>μ</m:t>
        </m:r>
      </m:oMath>
      <w:r>
        <w:t xml:space="preserve">M of EPN. Owing to the presence of intermediates, the absence of substrates does not affect background fluorescence and should be as much as DmpR</w:t>
      </w:r>
      <w:r>
        <w:rPr>
          <w:vertAlign w:val="subscript"/>
        </w:rPr>
        <w:t xml:space="preserve">CK</w:t>
      </w:r>
      <w:r>
        <w:t xml:space="preserve">. However, some mutations in DmpR</w:t>
      </w:r>
      <w:r>
        <w:rPr>
          <w:vertAlign w:val="subscript"/>
        </w:rPr>
        <w:t xml:space="preserve">CK</w:t>
      </w:r>
      <w:r>
        <w:t xml:space="preserve">, possibly originating during vector backbone amplification or occurring</w:t>
      </w:r>
      <w:r>
        <w:t xml:space="preserve"> </w:t>
      </w:r>
      <w:r>
        <w:rPr>
          <w:iCs/>
          <w:i/>
        </w:rPr>
        <w:t xml:space="preserve">de novo</w:t>
      </w:r>
      <w:r>
        <w:t xml:space="preserve">, were enriched along with improved MPH variants. These plasmid sequences were filtered out after sequencing to reduce false positives and negatives (Supplementary Figures 5, 7). Similar to DmpR engineering, a simple binary classification CNN model was trained and used to predict the activity of a mutant in an MPH</w:t>
      </w:r>
      <w:r>
        <w:t xml:space="preserve"> </w:t>
      </w:r>
      <w:r>
        <w:rPr>
          <w:iCs/>
          <w:i/>
        </w:rPr>
        <w:t xml:space="preserve">in-silico</w:t>
      </w:r>
      <w:r>
        <w:t xml:space="preserve"> </w:t>
      </w:r>
      <w:r>
        <w:t xml:space="preserve">library (n = 100,000).</w:t>
      </w:r>
    </w:p>
    <w:bookmarkEnd w:id="88"/>
    <w:bookmarkEnd w:id="89"/>
    <w:bookmarkStart w:id="90" w:name="future-considerations"/>
    <w:p>
      <w:pPr>
        <w:pStyle w:val="Heading2"/>
      </w:pPr>
      <w:r>
        <w:t xml:space="preserve">4.5 Future Considerations</w:t>
      </w:r>
    </w:p>
    <w:p>
      <w:pPr>
        <w:pStyle w:val="FirstParagraph"/>
      </w:pPr>
      <w:r>
        <w:t xml:space="preserve">Although this method focuses on engineering transcription factor proteins, it can be modified to target other types of proteins. Nested genetic circuits used in tools such as GESS can expand the range of proteins that can be screened on the basis of fluorescence using a single TF. Alternative approaches to high-throughput screening of enzymes for example, using chemoselective</w:t>
      </w:r>
      <w:r>
        <w:rPr>
          <w:vertAlign w:val="superscript"/>
        </w:rPr>
        <w:t xml:space="preserve">16</w:t>
      </w:r>
      <w:r>
        <w:t xml:space="preserve"> </w:t>
      </w:r>
      <w:r>
        <w:t xml:space="preserve">probes attached to the substrate and observing the change in fluorescence to determine the enzyme activity can substitute the use of a biosensor.</w:t>
      </w:r>
      <w:r>
        <w:br/>
      </w:r>
      <w:r>
        <w:t xml:space="preserve">Another limitation is relying on the raw read accuracy of Nanopore which is estimated at 99.5% which often results in random insertions and deletions in the reads. Nonetheless, technology is rapidly evolving to reduce such errors (Supplementary Figure 9). Alternatively, raw reads from PacBio HiFi long reads sequencing that has a raw read accuracy of 99.9% can be used in the same manner.</w:t>
      </w:r>
    </w:p>
    <w:p>
      <w:pPr>
        <w:pStyle w:val="BodyText"/>
      </w:pPr>
      <w:r>
        <w:t xml:space="preserve">HiAPE is a method to salvage and utilize the data that is often lost during directed evolution to generate an AI model that can provide a comprehensive outlook of a protein landscape. It can be applied as a general strategy to a variety of proteins provided the low and high-activity phenotypes can be separated. Multiple models on different properties can be developed and run in parallel from the same mutant library to provide an ideal candidate that fulfills all criteria. Although a fairly simple CNN model was utilized in this study, the data acquired can also be used to train more sophisticated single and multi-label architectures or to fine-tune pre-trained models, including language models to predict novel protein sequences for a targeted function. Through advanced data collection techniques, we can construct personalized models for different proteins which can be supplemented by autonomous robotic laboratories</w:t>
      </w:r>
      <w:r>
        <w:rPr>
          <w:vertAlign w:val="superscript"/>
        </w:rPr>
        <w:t xml:space="preserve">17</w:t>
      </w:r>
      <w:r>
        <w:t xml:space="preserve"> </w:t>
      </w:r>
      <w:r>
        <w:t xml:space="preserve">to facilitate rapid and efficient protein engineering.</w:t>
      </w:r>
    </w:p>
    <w:bookmarkEnd w:id="90"/>
    <w:bookmarkEnd w:id="91"/>
    <w:bookmarkStart w:id="103" w:name="Xed713cdf3857a7e709c6929280011f78b0fcf81"/>
    <w:p>
      <w:pPr>
        <w:pStyle w:val="Heading1"/>
      </w:pPr>
      <w:r>
        <w:t xml:space="preserve">5. Biofoundry based production and multiplexed identification of mutants</w:t>
      </w:r>
    </w:p>
    <w:bookmarkStart w:id="92" w:name="introduction-3"/>
    <w:p>
      <w:pPr>
        <w:pStyle w:val="Heading2"/>
      </w:pPr>
      <w:r>
        <w:t xml:space="preserve">5.1 Introduction</w:t>
      </w:r>
    </w:p>
    <w:bookmarkEnd w:id="92"/>
    <w:bookmarkStart w:id="100" w:name="methods-2"/>
    <w:p>
      <w:pPr>
        <w:pStyle w:val="Heading2"/>
      </w:pPr>
      <w:r>
        <w:t xml:space="preserve">5.2 Methods</w:t>
      </w:r>
    </w:p>
    <w:bookmarkStart w:id="93" w:name="design"/>
    <w:p>
      <w:pPr>
        <w:pStyle w:val="Heading3"/>
      </w:pPr>
      <w:r>
        <w:t xml:space="preserve">5.2.1 Design</w:t>
      </w:r>
    </w:p>
    <w:p>
      <w:pPr>
        <w:numPr>
          <w:ilvl w:val="0"/>
          <w:numId w:val="1009"/>
        </w:numPr>
      </w:pPr>
      <w:r>
        <w:t xml:space="preserve">In-silico Modelling:</w:t>
      </w:r>
    </w:p>
    <w:p>
      <w:pPr>
        <w:numPr>
          <w:ilvl w:val="1"/>
          <w:numId w:val="1010"/>
        </w:numPr>
      </w:pPr>
      <w:r>
        <w:t xml:space="preserve">Random</w:t>
      </w:r>
    </w:p>
    <w:p>
      <w:pPr>
        <w:numPr>
          <w:ilvl w:val="1"/>
          <w:numId w:val="1010"/>
        </w:numPr>
      </w:pPr>
      <w:r>
        <w:t xml:space="preserve">Generative AI</w:t>
      </w:r>
    </w:p>
    <w:p>
      <w:pPr>
        <w:numPr>
          <w:ilvl w:val="0"/>
          <w:numId w:val="1009"/>
        </w:numPr>
      </w:pPr>
      <w:r>
        <w:t xml:space="preserve">Primer Design</w:t>
      </w:r>
    </w:p>
    <w:p>
      <w:pPr>
        <w:numPr>
          <w:ilvl w:val="0"/>
          <w:numId w:val="1009"/>
        </w:numPr>
      </w:pPr>
      <w:r>
        <w:t xml:space="preserve">Biofoundry equipment mapping</w:t>
      </w:r>
    </w:p>
    <w:bookmarkEnd w:id="93"/>
    <w:bookmarkStart w:id="94" w:name="build"/>
    <w:p>
      <w:pPr>
        <w:pStyle w:val="Heading3"/>
      </w:pPr>
      <w:r>
        <w:t xml:space="preserve">5.2.2 Build</w:t>
      </w:r>
    </w:p>
    <w:p>
      <w:pPr>
        <w:numPr>
          <w:ilvl w:val="0"/>
          <w:numId w:val="1011"/>
        </w:numPr>
        <w:pStyle w:val="Compact"/>
      </w:pPr>
      <w:r>
        <w:t xml:space="preserve">SDM</w:t>
      </w:r>
    </w:p>
    <w:bookmarkEnd w:id="94"/>
    <w:bookmarkStart w:id="98" w:name="test-high-throughput-mutant-screening"/>
    <w:p>
      <w:pPr>
        <w:pStyle w:val="Heading3"/>
      </w:pPr>
      <w:r>
        <w:t xml:space="preserve">5.2.3 Test: High-throughput mutant screening</w:t>
      </w:r>
    </w:p>
    <w:bookmarkStart w:id="95" w:name="multiplexed-barcode-pcr-sequencing"/>
    <w:p>
      <w:pPr>
        <w:pStyle w:val="Heading4"/>
      </w:pPr>
      <w:r>
        <w:t xml:space="preserve">5.2.3.1 Multiplexed barcode PCR sequencing</w:t>
      </w:r>
    </w:p>
    <w:bookmarkEnd w:id="95"/>
    <w:bookmarkStart w:id="96" w:name="nanopore-analysis-1"/>
    <w:p>
      <w:pPr>
        <w:pStyle w:val="Heading4"/>
      </w:pPr>
      <w:r>
        <w:t xml:space="preserve">5.2.3.2 Nanopore analysis</w:t>
      </w:r>
    </w:p>
    <w:p>
      <w:pPr>
        <w:pStyle w:val="FirstParagraph"/>
      </w:pPr>
      <w:r>
        <w:t xml:space="preserve">The output of the Nanopore sequencing is the pooled result of the above PCR products, which comprises of different samples with different samples. It is important to demultiplex the samples to differentiate the sequences appropriately. Follow the steps to run</w:t>
      </w:r>
    </w:p>
    <w:bookmarkEnd w:id="96"/>
    <w:bookmarkStart w:id="97" w:name="phenotyping"/>
    <w:p>
      <w:pPr>
        <w:pStyle w:val="Heading4"/>
      </w:pPr>
      <w:r>
        <w:t xml:space="preserve">5.2.3.3 Phenotyping</w:t>
      </w:r>
    </w:p>
    <w:bookmarkEnd w:id="97"/>
    <w:bookmarkEnd w:id="98"/>
    <w:bookmarkStart w:id="99" w:name="learn-1"/>
    <w:p>
      <w:pPr>
        <w:pStyle w:val="Heading3"/>
      </w:pPr>
      <w:r>
        <w:t xml:space="preserve">5.2.4 Learn</w:t>
      </w:r>
    </w:p>
    <w:p>
      <w:pPr>
        <w:numPr>
          <w:ilvl w:val="0"/>
          <w:numId w:val="1012"/>
        </w:numPr>
        <w:pStyle w:val="Compact"/>
      </w:pPr>
      <w:r>
        <w:t xml:space="preserve">Structure Predictions and Simulations</w:t>
      </w:r>
    </w:p>
    <w:bookmarkEnd w:id="99"/>
    <w:bookmarkEnd w:id="100"/>
    <w:bookmarkStart w:id="101" w:name="results-2"/>
    <w:p>
      <w:pPr>
        <w:pStyle w:val="Heading2"/>
      </w:pPr>
      <w:r>
        <w:t xml:space="preserve">5.3 Results</w:t>
      </w:r>
    </w:p>
    <w:p>
      <w:pPr>
        <w:pStyle w:val="FirstParagraph"/>
      </w:pPr>
      <w:r>
        <w:t xml:space="preserve">Top 19 mutants were parallely constructed rapidly, and were identified with an in-house biofoundry workflow (Methods: Mutant generation and evaluation). 89% of the samples had comparable background to wild type, with 53% being less than that of WT. 58% of the samples had comparable signal to WT with 42% being more than that of WT. None of the samples had high background with high activity, owing to the prefrence given to background while selecting the candidates. 33% of the samples (Mutants M45L, I168T, D91E, D91H, M320R and P482Q) had a higher fold change than that of WT.</w:t>
      </w:r>
    </w:p>
    <w:p>
      <w:pPr>
        <w:pStyle w:val="BodyText"/>
      </w:pPr>
      <w:r>
        <w:t xml:space="preserve">Using the positional information, the role and importance of the residue can be interpreted. For example, P482Q is present at a linker between the ATPase domain and the DNA binding domain. Substituting proline for glutamine may promote water-based H-bonding which improves flexible binding and release of the TF from the promoter DNA.</w:t>
      </w:r>
    </w:p>
    <w:p>
      <w:pPr>
        <w:pStyle w:val="BodyText"/>
      </w:pPr>
      <w:r>
        <w:t xml:space="preserve">DmpR</w:t>
      </w:r>
    </w:p>
    <w:p>
      <w:pPr>
        <w:pStyle w:val="BodyText"/>
      </w:pPr>
      <w:r>
        <w:t xml:space="preserve">MPH</w:t>
      </w:r>
    </w:p>
    <w:bookmarkEnd w:id="101"/>
    <w:bookmarkStart w:id="102" w:name="discussion"/>
    <w:p>
      <w:pPr>
        <w:pStyle w:val="Heading2"/>
      </w:pPr>
      <w:r>
        <w:t xml:space="preserve">5.4 Discussion</w:t>
      </w:r>
    </w:p>
    <w:bookmarkEnd w:id="102"/>
    <w:bookmarkEnd w:id="103"/>
    <w:bookmarkStart w:id="112" w:name="assembling-long-dna"/>
    <w:p>
      <w:pPr>
        <w:pStyle w:val="Heading1"/>
      </w:pPr>
      <w:r>
        <w:t xml:space="preserve">6. Assembling Long-DNA</w:t>
      </w:r>
    </w:p>
    <w:bookmarkStart w:id="104" w:name="introduction-4"/>
    <w:p>
      <w:pPr>
        <w:pStyle w:val="Heading2"/>
      </w:pPr>
      <w:r>
        <w:t xml:space="preserve">6.1 Introduction</w:t>
      </w:r>
    </w:p>
    <w:p>
      <w:pPr>
        <w:numPr>
          <w:ilvl w:val="0"/>
          <w:numId w:val="1013"/>
        </w:numPr>
      </w:pPr>
      <w:r>
        <w:t xml:space="preserve">Literature Review of Traditional Synthetic Biology design rules</w:t>
      </w:r>
    </w:p>
    <w:p>
      <w:pPr>
        <w:numPr>
          <w:ilvl w:val="0"/>
          <w:numId w:val="1013"/>
        </w:numPr>
      </w:pPr>
      <w:r>
        <w:t xml:space="preserve">Constructing plasmids and genomes</w:t>
      </w:r>
    </w:p>
    <w:p>
      <w:pPr>
        <w:numPr>
          <w:ilvl w:val="0"/>
          <w:numId w:val="1013"/>
        </w:numPr>
      </w:pPr>
      <w:r>
        <w:t xml:space="preserve">Limited tools/ Not better than manually working though them- Labour intensive</w:t>
      </w:r>
    </w:p>
    <w:p>
      <w:pPr>
        <w:numPr>
          <w:ilvl w:val="0"/>
          <w:numId w:val="1013"/>
        </w:numPr>
      </w:pPr>
      <w:r>
        <w:t xml:space="preserve">Synthesizing Large fragments is challenging</w:t>
      </w:r>
    </w:p>
    <w:bookmarkEnd w:id="104"/>
    <w:bookmarkStart w:id="105" w:name="consideration-for-designing-oligomers"/>
    <w:p>
      <w:pPr>
        <w:pStyle w:val="Heading2"/>
      </w:pPr>
      <w:r>
        <w:t xml:space="preserve">6.2 Consideration for designing oligomers</w:t>
      </w:r>
    </w:p>
    <w:p>
      <w:pPr>
        <w:numPr>
          <w:ilvl w:val="0"/>
          <w:numId w:val="1014"/>
        </w:numPr>
      </w:pPr>
      <w:r>
        <w:t xml:space="preserve">Number of overlaps</w:t>
      </w:r>
    </w:p>
    <w:p>
      <w:pPr>
        <w:numPr>
          <w:ilvl w:val="0"/>
          <w:numId w:val="1014"/>
        </w:numPr>
      </w:pPr>
      <w:r>
        <w:t xml:space="preserve">No repeats</w:t>
      </w:r>
    </w:p>
    <w:p>
      <w:pPr>
        <w:numPr>
          <w:ilvl w:val="0"/>
          <w:numId w:val="1014"/>
        </w:numPr>
      </w:pPr>
      <w:r>
        <w:t xml:space="preserve">GC%</w:t>
      </w:r>
    </w:p>
    <w:p>
      <w:pPr>
        <w:numPr>
          <w:ilvl w:val="0"/>
          <w:numId w:val="1014"/>
        </w:numPr>
      </w:pPr>
      <w:r>
        <w:t xml:space="preserve">No A at 3’ end</w:t>
      </w:r>
    </w:p>
    <w:bookmarkEnd w:id="105"/>
    <w:bookmarkStart w:id="106" w:name="psuedocode"/>
    <w:p>
      <w:pPr>
        <w:pStyle w:val="Heading2"/>
      </w:pPr>
      <w:r>
        <w:t xml:space="preserve">6.3 Psuedocode</w:t>
      </w:r>
    </w:p>
    <w:bookmarkEnd w:id="106"/>
    <w:bookmarkStart w:id="107" w:name="user-interface"/>
    <w:p>
      <w:pPr>
        <w:pStyle w:val="Heading2"/>
      </w:pPr>
      <w:r>
        <w:t xml:space="preserve">6.4 User Interface</w:t>
      </w:r>
    </w:p>
    <w:p>
      <w:pPr>
        <w:numPr>
          <w:ilvl w:val="0"/>
          <w:numId w:val="1015"/>
        </w:numPr>
      </w:pPr>
      <w:r>
        <w:t xml:space="preserve">Python- Flask</w:t>
      </w:r>
    </w:p>
    <w:p>
      <w:pPr>
        <w:numPr>
          <w:ilvl w:val="0"/>
          <w:numId w:val="1015"/>
        </w:numPr>
      </w:pPr>
      <w:r>
        <w:t xml:space="preserve">R- Shiny</w:t>
      </w:r>
    </w:p>
    <w:bookmarkEnd w:id="107"/>
    <w:bookmarkStart w:id="110" w:name="experimental-evaluation"/>
    <w:p>
      <w:pPr>
        <w:pStyle w:val="Heading2"/>
      </w:pPr>
      <w:r>
        <w:t xml:space="preserve">6.5 Experimental Evaluation</w:t>
      </w:r>
    </w:p>
    <w:bookmarkStart w:id="108" w:name="materials-and-methods"/>
    <w:p>
      <w:pPr>
        <w:pStyle w:val="Heading3"/>
      </w:pPr>
      <w:r>
        <w:t xml:space="preserve">6.5.1 Materials and Methods</w:t>
      </w:r>
    </w:p>
    <w:p>
      <w:pPr>
        <w:numPr>
          <w:ilvl w:val="0"/>
          <w:numId w:val="1016"/>
        </w:numPr>
        <w:pStyle w:val="Compact"/>
      </w:pPr>
      <w:r>
        <w:t xml:space="preserve">Role of Biofoundry</w:t>
      </w:r>
    </w:p>
    <w:bookmarkEnd w:id="108"/>
    <w:bookmarkStart w:id="109" w:name="results-3"/>
    <w:p>
      <w:pPr>
        <w:pStyle w:val="Heading3"/>
      </w:pPr>
      <w:r>
        <w:t xml:space="preserve">6.5.2 Results</w:t>
      </w:r>
    </w:p>
    <w:bookmarkEnd w:id="109"/>
    <w:bookmarkEnd w:id="110"/>
    <w:bookmarkStart w:id="111" w:name="discussion-1"/>
    <w:p>
      <w:pPr>
        <w:pStyle w:val="Heading2"/>
      </w:pPr>
      <w:r>
        <w:t xml:space="preserve">6.6 Discussion</w:t>
      </w:r>
    </w:p>
    <w:p>
      <w:pPr>
        <w:numPr>
          <w:ilvl w:val="0"/>
          <w:numId w:val="1017"/>
        </w:numPr>
        <w:pStyle w:val="Compact"/>
      </w:pPr>
      <w:r>
        <w:t xml:space="preserve">Integrating with the Biofoundry and sample tracking to mass produce samples</w:t>
      </w:r>
    </w:p>
    <w:p>
      <w:pPr>
        <w:numPr>
          <w:ilvl w:val="0"/>
          <w:numId w:val="1017"/>
        </w:numPr>
        <w:pStyle w:val="Compact"/>
      </w:pPr>
      <w:r>
        <w:t xml:space="preserve">Structure predictions</w:t>
      </w:r>
    </w:p>
    <w:bookmarkEnd w:id="111"/>
    <w:bookmarkEnd w:id="112"/>
    <w:bookmarkStart w:id="115" w:name="conclusion"/>
    <w:p>
      <w:pPr>
        <w:pStyle w:val="Heading1"/>
      </w:pPr>
      <w:r>
        <w:t xml:space="preserve">Conclusion</w:t>
      </w:r>
    </w:p>
    <w:p>
      <w:pPr>
        <w:pStyle w:val="FirstParagraph"/>
      </w:pPr>
      <w:r>
        <w:t xml:space="preserve">Case study: Protein Engineering Stack</w:t>
      </w:r>
    </w:p>
    <w:p>
      <w:pPr>
        <w:pStyle w:val="BodyText"/>
      </w:pPr>
      <w:r>
        <w:drawing>
          <wp:inline>
            <wp:extent cx="5334000" cy="4768596"/>
            <wp:effectExtent b="0" l="0" r="0" t="0"/>
            <wp:docPr descr="" title="" id="113" name="Picture"/>
            <a:graphic>
              <a:graphicData uri="http://schemas.openxmlformats.org/drawingml/2006/picture">
                <pic:pic>
                  <pic:nvPicPr>
                    <pic:cNvPr descr="chapters/images/HiAPE.png" id="114" name="Picture"/>
                    <pic:cNvPicPr>
                      <a:picLocks noChangeArrowheads="1" noChangeAspect="1"/>
                    </pic:cNvPicPr>
                  </pic:nvPicPr>
                  <pic:blipFill>
                    <a:blip r:embed="rId24"/>
                    <a:stretch>
                      <a:fillRect/>
                    </a:stretch>
                  </pic:blipFill>
                  <pic:spPr bwMode="auto">
                    <a:xfrm>
                      <a:off x="0" y="0"/>
                      <a:ext cx="5334000" cy="4768596"/>
                    </a:xfrm>
                    <a:prstGeom prst="rect">
                      <a:avLst/>
                    </a:prstGeom>
                    <a:noFill/>
                    <a:ln w="9525">
                      <a:noFill/>
                      <a:headEnd/>
                      <a:tailEnd/>
                    </a:ln>
                  </pic:spPr>
                </pic:pic>
              </a:graphicData>
            </a:graphic>
          </wp:inline>
        </w:drawing>
      </w:r>
      <w:r>
        <w:t xml:space="preserve">This thesis focuses on the development of workflows and software tools with a focus on protein engineering.</w:t>
      </w:r>
    </w:p>
    <w:bookmarkEnd w:id="115"/>
    <w:bookmarkStart w:id="117" w:name="references-1"/>
    <w:p>
      <w:pPr>
        <w:pStyle w:val="Heading1"/>
      </w:pPr>
      <w:r>
        <w:t xml:space="preserve">References</w:t>
      </w:r>
    </w:p>
    <w:bookmarkStart w:id="116" w:name="refs"/>
    <w:bookmarkEnd w:id="116"/>
    <w:bookmarkEnd w:id="117"/>
    <w:bookmarkStart w:id="121" w:name="appendix"/>
    <w:p>
      <w:pPr>
        <w:pStyle w:val="Heading1"/>
      </w:pPr>
      <w:r>
        <w:t xml:space="preserve">Appendix</w:t>
      </w:r>
    </w:p>
    <w:p>
      <w:pPr>
        <w:pStyle w:val="CaptionedFigure"/>
      </w:pPr>
      <w:r>
        <w:drawing>
          <wp:inline>
            <wp:extent cx="5334000" cy="3002262"/>
            <wp:effectExtent b="0" l="0" r="0" t="0"/>
            <wp:docPr descr="A: Activity Bar showcasing the extensions installed locally. B: Primary Side Bar that displays the layout of files and Source code changes. C: Main window to edit markdown and jupyter notebook files. D: A Preview panel to view PDF and HTML files." title="" id="119" name="Picture"/>
            <a:graphic>
              <a:graphicData uri="http://schemas.openxmlformats.org/drawingml/2006/picture">
                <pic:pic>
                  <pic:nvPicPr>
                    <pic:cNvPr descr="chapters/images/VS_code.png" id="120" name="Picture"/>
                    <pic:cNvPicPr>
                      <a:picLocks noChangeArrowheads="1" noChangeAspect="1"/>
                    </pic:cNvPicPr>
                  </pic:nvPicPr>
                  <pic:blipFill>
                    <a:blip r:embed="rId118"/>
                    <a:stretch>
                      <a:fillRect/>
                    </a:stretch>
                  </pic:blipFill>
                  <pic:spPr bwMode="auto">
                    <a:xfrm>
                      <a:off x="0" y="0"/>
                      <a:ext cx="5334000" cy="3002262"/>
                    </a:xfrm>
                    <a:prstGeom prst="rect">
                      <a:avLst/>
                    </a:prstGeom>
                    <a:noFill/>
                    <a:ln w="9525">
                      <a:noFill/>
                      <a:headEnd/>
                      <a:tailEnd/>
                    </a:ln>
                  </pic:spPr>
                </pic:pic>
              </a:graphicData>
            </a:graphic>
          </wp:inline>
        </w:drawing>
      </w:r>
    </w:p>
    <w:p>
      <w:pPr>
        <w:pStyle w:val="ImageCaption"/>
      </w:pPr>
      <w:r>
        <w:t xml:space="preserve">A: Activity Bar showcasing the extensions installed locally. B: Primary Side Bar that displays the layout of files and Source code changes. C: Main window to edit markdown and jupyter notebook files. D: A Preview panel to view PDF and HTML files.</w:t>
      </w:r>
    </w:p>
    <w:bookmarkEnd w:id="1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118" Target="media/rId118.png" /><Relationship Type="http://schemas.openxmlformats.org/officeDocument/2006/relationships/image" Id="rId39" Target="media/rId39.png" /><Relationship Type="http://schemas.openxmlformats.org/officeDocument/2006/relationships/image" Id="rId45" Target="media/rId45.png" /><Relationship Type="http://schemas.openxmlformats.org/officeDocument/2006/relationships/image" Id="rId50" Target="media/rId50.png" /><Relationship Type="http://schemas.openxmlformats.org/officeDocument/2006/relationships/hyperlink" Id="rId69" Target="https://github.com/ImperialCollegeLondon/2020-07-13-Containers-Online/blob/gh-pages/CITATION" TargetMode="External" /><Relationship Type="http://schemas.openxmlformats.org/officeDocument/2006/relationships/hyperlink" Id="rId70" Target="https://github.com/keller-mark/awesome-biological-visualizations" TargetMode="External" /><Relationship Type="http://schemas.openxmlformats.org/officeDocument/2006/relationships/hyperlink" Id="rId67" Target="https://www.cowen.com/transactions/amyris-inc-6-4-2020/" TargetMode="External" /><Relationship Type="http://schemas.openxmlformats.org/officeDocument/2006/relationships/hyperlink" Id="rId68" Target="https://www.idtdna.com/pages/community/blog/post/thinking-about-making-the-switch-to-an-electronic-lab-notebook-here-are-some-pros-and-cons" TargetMode="External" /></Relationships>
</file>

<file path=word/_rels/footnotes.xml.rels><?xml version="1.0" encoding="UTF-8"?><Relationships xmlns="http://schemas.openxmlformats.org/package/2006/relationships"><Relationship Type="http://schemas.openxmlformats.org/officeDocument/2006/relationships/hyperlink" Id="rId69" Target="https://github.com/ImperialCollegeLondon/2020-07-13-Containers-Online/blob/gh-pages/CITATION" TargetMode="External" /><Relationship Type="http://schemas.openxmlformats.org/officeDocument/2006/relationships/hyperlink" Id="rId70" Target="https://github.com/keller-mark/awesome-biological-visualizations" TargetMode="External" /><Relationship Type="http://schemas.openxmlformats.org/officeDocument/2006/relationships/hyperlink" Id="rId67" Target="https://www.cowen.com/transactions/amyris-inc-6-4-2020/" TargetMode="External" /><Relationship Type="http://schemas.openxmlformats.org/officeDocument/2006/relationships/hyperlink" Id="rId68" Target="https://www.idtdna.com/pages/community/blog/post/thinking-about-making-the-switch-to-an-electronic-lab-notebook-here-are-some-pros-and-c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Computational Approaches to Biofoundry-based Protein Engineering and Synthetic Biology</dc:title>
  <dc:creator>Aporva Gupta</dc:creator>
  <cp:keywords/>
  <dcterms:created xsi:type="dcterms:W3CDTF">2024-10-29T23:08:31Z</dcterms:created>
  <dcterms:modified xsi:type="dcterms:W3CDTF">2024-10-29T23:08:31Z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emplate-partials">
    <vt:lpwstr/>
  </property>
  <property fmtid="{D5CDD505-2E9C-101B-9397-08002B2CF9AE}" pid="13" name="toc-title">
    <vt:lpwstr>Table of contents</vt:lpwstr>
  </property>
</Properties>
</file>