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26.png" ContentType="image/png"/>
  <Override PartName="/word/media/rId136.png" ContentType="image/png"/>
  <Override PartName="/word/media/rId36.png" ContentType="image/png"/>
  <Override PartName="/word/media/rId46.png" ContentType="image/png"/>
  <Override PartName="/word/media/rId56.png" ContentType="image/png"/>
  <Override PartName="/word/media/rId75.png" ContentType="image/png"/>
  <Override PartName="/word/media/rId79.png" ContentType="image/png"/>
  <Override PartName="/word/media/rId8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2" w:name="introduction"/>
    <w:p>
      <w:pPr>
        <w:pStyle w:val="Heading1"/>
      </w:pPr>
      <w:r>
        <w:t xml:space="preserve">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bookmarkStart w:id="21" w:name="section"/>
    <w:p>
      <w:pPr>
        <w:pStyle w:val="Heading2"/>
      </w:pPr>
      <w:r>
        <w:t xml:space="preserve">1.1</w:t>
      </w:r>
      <w:r>
        <w:t xml:space="preserve"> </w:t>
      </w:r>
    </w:p>
    <w:bookmarkEnd w:id="21"/>
    <w:bookmarkEnd w:id="22"/>
    <w:bookmarkStart w:id="68" w:name="X27aee4e3756165a7a33bb902bebf9bf41e4751c"/>
    <w:p>
      <w:pPr>
        <w:pStyle w:val="Heading1"/>
      </w:pPr>
      <w:r>
        <w:t xml:space="preserve">2. Computational Tools for Streamlined Biofoundry Workflows</w:t>
      </w:r>
    </w:p>
    <w:bookmarkStart w:id="23" w:name="introduction-1"/>
    <w:p>
      <w:pPr>
        <w:pStyle w:val="Heading2"/>
      </w:pPr>
      <w:r>
        <w:t xml:space="preserve">2.1 Introduction</w:t>
      </w:r>
    </w:p>
    <w:p>
      <w:pPr>
        <w:pStyle w:val="FirstParagraph"/>
      </w:pPr>
      <w:r>
        <w:t xml:space="preserve">Various molecular experiments have been significantly streamlined with the advent of machines that can replace arduous laboratory work. For example, even simple gel electrophoresis experiments can be left to E-gel Electrophoresis systems (Invitrogen, ThermoFisher) for a small number of samples or fragment analyzers (Agilent) when working at scale. By leveraging such advanced technologies, researchers can focus on data interpretation and experimental design.</w:t>
      </w:r>
    </w:p>
    <w:p>
      <w:pPr>
        <w:pStyle w:val="BodyText"/>
      </w:pPr>
      <w:r>
        <w:t xml:space="preserve">In a biofoundry, it is typical to find such machines, each playing a crucial role in the overall experimental strategy. However, when dealing with a diverse array of equipment from various manufacturers, it is common to encounter a range of challenges. These devices often require different inputs, feature distinct user interfaces (UIs) that each come with their own learning curves, utilize various file formats, and may have incompatible data structures</w:t>
      </w:r>
      <w:r>
        <w:rPr>
          <w:vertAlign w:val="superscript"/>
        </w:rPr>
        <w:t xml:space="preserve">1</w:t>
      </w:r>
      <w:r>
        <w:t xml:space="preserve">. Such discrepancies can significantly reduce the efficiency of workflows by requiring constant supervision and hinder the overall productivity of research efforts. An example of these costs can be illustrated by Amyris’ artemisinin project. This five-year, $20 million initiative reportedly dedicates 95% of its time to identifying and addressing unintended interactions between various components</w:t>
      </w:r>
      <w:r>
        <w:rPr>
          <w:vertAlign w:val="superscript"/>
        </w:rPr>
        <w:t xml:space="preserve">2</w:t>
      </w:r>
      <w:r>
        <w:t xml:space="preserve">.</w:t>
      </w:r>
    </w:p>
    <w:p>
      <w:pPr>
        <w:pStyle w:val="BodyText"/>
      </w:pPr>
      <w:r>
        <w:t xml:space="preserve">To address these challenges, the field of bio-design automation (BDA) was conceptualized. Modeled after electronic-design automation (EDA), which revolutionized the electronic industry by creating software tools for designing and managing complex electronic systems, BDA aims to enhance the efficiency and scalability of biological research and engineering</w:t>
      </w:r>
      <w:r>
        <w:rPr>
          <w:vertAlign w:val="superscript"/>
        </w:rPr>
        <w:t xml:space="preserve">3</w:t>
      </w:r>
      <w:r>
        <w:t xml:space="preserve">. This field fosters an interdisciplinary community that brings together biologists, engineers, computer scientists, and data analysts, all collaborating to address specific challenges within synthetic biology workflows. By identifying and tackling subproblems, BDA encourages the development of specialized software tools that support the design, construction, and testing of biological systems</w:t>
      </w:r>
      <w:r>
        <w:rPr>
          <w:vertAlign w:val="superscript"/>
        </w:rPr>
        <w:t xml:space="preserve">4</w:t>
      </w:r>
      <w:r>
        <w:t xml:space="preserve">. These tools not only streamline experimental processes but also facilitate the iterative refinement of biological constructs, ultimately enabling researchers to innovate more rapidly and effectively.</w:t>
      </w:r>
    </w:p>
    <w:p>
      <w:pPr>
        <w:pStyle w:val="BodyText"/>
      </w:pPr>
      <w:r>
        <w:t xml:space="preserve">In the context of a biofoundry that necessitates the development of diverse workflows tailored to multiple applications, the adoption of open-source software is critical. Open-source solutions offer the advantage of seamless integration with various modules, enabling researchers to construct adaptable and efficient workflows.</w:t>
      </w:r>
    </w:p>
    <w:p>
      <w:pPr>
        <w:pStyle w:val="BodyText"/>
      </w:pPr>
      <w:r>
        <w:t xml:space="preserve">This intuitive web-based interface allows users to easily interact with the in-silico mutant library generator without the need for extensive programming knowledge. Users can input their original DNA sequences and select various mutation types, including point mutations, insertions, and deletions. The UI provides clear instructions and feedback throughout the process, ensuring that even those new to synthetic biology can navigate the tool effectively.</w:t>
      </w:r>
    </w:p>
    <w:p>
      <w:pPr>
        <w:pStyle w:val="BodyText"/>
      </w:pPr>
      <w:r>
        <w:t xml:space="preserve">Additionally, the interface includes features such as real-time performance predictions and the ability to download generated mutant libraries for further analysis. By streamlining the user experience, this UI empowers researchers and practitioners to efficiently explore genetic modifications, accelerating their efforts in DNA optimization and synthetic biology applications. Whether for academic research or practical applications, this tool makes the process of generating and evaluating mutant candidates more accessible and user-friendly.</w:t>
      </w:r>
    </w:p>
    <w:bookmarkEnd w:id="23"/>
    <w:bookmarkStart w:id="29" w:name="X31d2513e6f971bdb9de651084771213c25ba8bf"/>
    <w:p>
      <w:pPr>
        <w:pStyle w:val="Heading2"/>
      </w:pPr>
      <w:r>
        <w:t xml:space="preserve">2.2 Considerations required for biofoundry development</w:t>
      </w:r>
    </w:p>
    <w:bookmarkStart w:id="24" w:name="hardware"/>
    <w:p>
      <w:pPr>
        <w:pStyle w:val="Heading3"/>
      </w:pPr>
      <w:r>
        <w:t xml:space="preserve">2.2.1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24"/>
    <w:bookmarkStart w:id="25" w:name="workflows"/>
    <w:p>
      <w:pPr>
        <w:pStyle w:val="Heading3"/>
      </w:pPr>
      <w:r>
        <w:t xml:space="preserve">2.2.2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[9]. An integrated biofoundry can minimize these mistakes by facilitating more informed decisions from a broader range of experiments.</w:t>
      </w:r>
    </w:p>
    <w:bookmarkEnd w:id="25"/>
    <w:bookmarkStart w:id="26" w:name="key-gaps-in-workflows"/>
    <w:p>
      <w:pPr>
        <w:pStyle w:val="Heading3"/>
      </w:pPr>
      <w:r>
        <w:t xml:space="preserve">2.2.3 Key Gaps in workflows:</w:t>
      </w:r>
    </w:p>
    <w:p>
      <w:pPr>
        <w:numPr>
          <w:ilvl w:val="0"/>
          <w:numId w:val="1001"/>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1"/>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1"/>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1"/>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1"/>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1"/>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1"/>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1"/>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1"/>
        </w:numPr>
      </w:pPr>
      <w:r>
        <w:rPr>
          <w:bCs/>
          <w:b/>
        </w:rPr>
        <w:t xml:space="preserve">Training and Onboarding</w:t>
      </w:r>
      <w:r>
        <w:t xml:space="preserve">: Inefficient onboarding processes for new personnel can slow down productivity and lead to misunderstandings about protocols and workflows.</w:t>
      </w:r>
    </w:p>
    <w:bookmarkEnd w:id="26"/>
    <w:bookmarkStart w:id="27" w:name="software"/>
    <w:p>
      <w:pPr>
        <w:pStyle w:val="Heading3"/>
      </w:pPr>
      <w:r>
        <w:t xml:space="preserve">2.2.4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[10]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27"/>
    <w:bookmarkStart w:id="28" w:name="key-gaps-in-software"/>
    <w:p>
      <w:pPr>
        <w:pStyle w:val="Heading3"/>
      </w:pPr>
      <w:r>
        <w:t xml:space="preserve">2.2.5 Key Gaps in Software</w:t>
      </w:r>
    </w:p>
    <w:p>
      <w:pPr>
        <w:numPr>
          <w:ilvl w:val="0"/>
          <w:numId w:val="1002"/>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2"/>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2"/>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2"/>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2"/>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2"/>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2"/>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2"/>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2"/>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2"/>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28"/>
    <w:bookmarkEnd w:id="29"/>
    <w:bookmarkStart w:id="66" w:name="computational-tools"/>
    <w:p>
      <w:pPr>
        <w:pStyle w:val="Heading2"/>
      </w:pPr>
      <w:r>
        <w:t xml:space="preserve">2.3 Computational Tools:</w:t>
      </w:r>
    </w:p>
    <w:bookmarkStart w:id="35" w:name="tools-for-data-logging-and-collaboration"/>
    <w:p>
      <w:pPr>
        <w:pStyle w:val="Heading3"/>
      </w:pPr>
      <w:r>
        <w:t xml:space="preserve">2.3.1 Tools for Data Logging and Collaboration:</w:t>
      </w:r>
    </w:p>
    <w:p>
      <w:pPr>
        <w:pStyle w:val="FirstParagraph"/>
      </w:pPr>
      <w:r>
        <w:drawing>
          <wp:inline>
            <wp:extent cx="3352800" cy="4203975"/>
            <wp:effectExtent b="0" l="0" r="0" t="0"/>
            <wp:docPr descr="" title="" id="31" name="Picture"/>
            <a:graphic>
              <a:graphicData uri="http://schemas.openxmlformats.org/drawingml/2006/picture">
                <pic:pic>
                  <pic:nvPicPr>
                    <pic:cNvPr descr="chapters/images/server_outline.png" id="32" name="Picture"/>
                    <pic:cNvPicPr>
                      <a:picLocks noChangeArrowheads="1" noChangeAspect="1"/>
                    </pic:cNvPicPr>
                  </pic:nvPicPr>
                  <pic:blipFill>
                    <a:blip r:embed="rId30"/>
                    <a:stretch>
                      <a:fillRect/>
                    </a:stretch>
                  </pic:blipFill>
                  <pic:spPr bwMode="auto">
                    <a:xfrm>
                      <a:off x="0" y="0"/>
                      <a:ext cx="3352800" cy="4203975"/>
                    </a:xfrm>
                    <a:prstGeom prst="rect">
                      <a:avLst/>
                    </a:prstGeom>
                    <a:noFill/>
                    <a:ln w="9525">
                      <a:noFill/>
                      <a:headEnd/>
                      <a:tailEnd/>
                    </a:ln>
                  </pic:spPr>
                </pic:pic>
              </a:graphicData>
            </a:graphic>
          </wp:inline>
        </w:drawing>
      </w:r>
    </w:p>
    <w:bookmarkStart w:id="33" w:name="electronic-lab-notebooks"/>
    <w:p>
      <w:pPr>
        <w:pStyle w:val="Heading4"/>
      </w:pPr>
      <w:r>
        <w:t xml:space="preserve">2.3.1.1 Electronic Lab Notebooks: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process[10].</w:t>
      </w:r>
    </w:p>
    <w:p>
      <w:pPr>
        <w:pStyle w:val="BodyText"/>
      </w:pPr>
      <w:r>
        <w:t xml:space="preserve">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 [11].</w:t>
      </w:r>
    </w:p>
    <w:p>
      <w:pPr>
        <w:pStyle w:val="BodyText"/>
      </w:pPr>
      <w: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making it simple to maintain a history of experiments and revisions. Open-sourced extensions allow integration of other software such as Docker, GitHub, and Notion which can be standardized through a free account.</w:t>
      </w:r>
    </w:p>
    <w:p>
      <w:pPr>
        <w:pStyle w:val="BodyText"/>
      </w:pPr>
      <w:r>
        <w:t xml:space="preserve">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bookmarkEnd w:id="33"/>
    <w:bookmarkStart w:id="34" w:name="version-control"/>
    <w:p>
      <w:pPr>
        <w:pStyle w:val="Heading4"/>
      </w:pPr>
      <w:r>
        <w:t xml:space="preserve">2.3.1.2 Version Control:</w:t>
      </w:r>
    </w:p>
    <w:p>
      <w:pPr>
        <w:pStyle w:val="FirstParagraph"/>
      </w:pPr>
      <w:r>
        <w:t xml:space="preserve">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pPr>
        <w:pStyle w:val="BodyText"/>
      </w:pPr>
      <w:r>
        <w:t xml:space="preserve">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pPr>
        <w:pStyle w:val="BodyText"/>
      </w:pPr>
      <w:r>
        <w:t xml:space="preserve">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pPr>
        <w:pStyle w:val="BodyText"/>
      </w:pPr>
      <w:r>
        <w:t xml:space="preserve">By creating a Docker image, users can package their workflows along with any required software, making it easy to distribute and deploy on any system that supports Docker. This eliminates the common</w:t>
      </w:r>
      <w:r>
        <w:t xml:space="preserve"> </w:t>
      </w:r>
      <w:r>
        <w:t xml:space="preserve">“</w:t>
      </w:r>
      <w:r>
        <w:t xml:space="preserve">it works on my machine</w:t>
      </w:r>
      <w:r>
        <w:t xml:space="preserve">”</w:t>
      </w:r>
      <w:r>
        <w:t xml:space="preserve"> </w:t>
      </w:r>
      <w:r>
        <w:t xml:space="preserve">problem, as the container will behave the same way on any platform. Additionally, Docker supports versioning, allowing teams to track changes in their environment over time and roll back to previous configurations if needed. [12, 13]</w:t>
      </w:r>
    </w:p>
    <w:p>
      <w:pPr>
        <w:pStyle w:val="BodyText"/>
      </w:pPr>
      <w:r>
        <w:t xml:space="preserve">Models and datasets can be uploaded on AI sharing platforms such as Huggingface.</w:t>
      </w:r>
    </w:p>
    <w:bookmarkEnd w:id="34"/>
    <w:bookmarkEnd w:id="35"/>
    <w:bookmarkStart w:id="43" w:name="design-tools"/>
    <w:p>
      <w:pPr>
        <w:pStyle w:val="Heading3"/>
      </w:pPr>
      <w:r>
        <w:t xml:space="preserve">2.3.2 Design Tools:</w:t>
      </w:r>
    </w:p>
    <w:p>
      <w:pPr>
        <w:pStyle w:val="FirstParagraph"/>
      </w:pPr>
      <w:r>
        <w:t xml:space="preserve">When managing a large number of samples, the design of DNA fragments can become a complex and cumbersome process. This challenge is exacerbated by the need to ensure specificity and efficiency in fragment design, which is crucial for downstream applications such as cloning, sequencing, or synthetic biology. As sample numbers increase, the potential for human error also rises, leading to inconsistencies that can compromise experimental outcomes. Moreover, the iterative nature of fragment design often necessitates multiple rounds of optimization, further extending the time and resources required for successful implementation. Consequently, the integration of automated design tools and software that can handle bulk DNA fragment design may prove invaluable. Such tools can streamline the process, enhance accuracy, and significantly reduce the workload associated with designing DNA fragments across numerous samples, thereby improving overall productivity in molecular biology workflows.</w:t>
      </w:r>
    </w:p>
    <w:p>
      <w:pPr>
        <w:pStyle w:val="BodyText"/>
      </w:pPr>
      <w:r>
        <w:drawing>
          <wp:inline>
            <wp:extent cx="5334000" cy="3934918"/>
            <wp:effectExtent b="0" l="0" r="0" t="0"/>
            <wp:docPr descr="" title="" id="37" name="Picture"/>
            <a:graphic>
              <a:graphicData uri="http://schemas.openxmlformats.org/drawingml/2006/picture">
                <pic:pic>
                  <pic:nvPicPr>
                    <pic:cNvPr descr="chapters/images/design_tools.png" id="38" name="Picture"/>
                    <pic:cNvPicPr>
                      <a:picLocks noChangeArrowheads="1" noChangeAspect="1"/>
                    </pic:cNvPicPr>
                  </pic:nvPicPr>
                  <pic:blipFill>
                    <a:blip r:embed="rId36"/>
                    <a:stretch>
                      <a:fillRect/>
                    </a:stretch>
                  </pic:blipFill>
                  <pic:spPr bwMode="auto">
                    <a:xfrm>
                      <a:off x="0" y="0"/>
                      <a:ext cx="5334000" cy="3934918"/>
                    </a:xfrm>
                    <a:prstGeom prst="rect">
                      <a:avLst/>
                    </a:prstGeom>
                    <a:noFill/>
                    <a:ln w="9525">
                      <a:noFill/>
                      <a:headEnd/>
                      <a:tailEnd/>
                    </a:ln>
                  </pic:spPr>
                </pic:pic>
              </a:graphicData>
            </a:graphic>
          </wp:inline>
        </w:drawing>
      </w:r>
    </w:p>
    <w:bookmarkStart w:id="40" w:name="in-silico-mutant-generator"/>
    <w:p>
      <w:pPr>
        <w:pStyle w:val="Heading4"/>
      </w:pPr>
      <w:r>
        <w:t xml:space="preserve">2.3.2.1</w:t>
      </w:r>
      <w:r>
        <w:t xml:space="preserve"> </w:t>
      </w:r>
      <w:r>
        <w:rPr>
          <w:iCs/>
          <w:i/>
        </w:rPr>
        <w:t xml:space="preserve">In-silico</w:t>
      </w:r>
      <w:r>
        <w:t xml:space="preserve"> </w:t>
      </w:r>
      <w:r>
        <w:t xml:space="preserve">Mutant Generator:</w:t>
      </w:r>
    </w:p>
    <w:p>
      <w:pPr>
        <w:pStyle w:val="FirstParagraph"/>
      </w:pPr>
      <w:r>
        <w:t xml:space="preserve">Optimizing DNA fragments in synthetic biology is a crucial step in the development of efficient and functional biological systems, necessitating the creation of a diverse array of mutant candidates to explore variations that can enhance performance. The traditional approaches to generating these mutants are often labor-intensive and resource-consuming, posing significant challenges in terms of time and scalability. In response to these limitations, we have developed an innovative in-silico mutant library generator that harnesses computational power to simulate a broad spectrum of mutations across selected DNA sequences. This generator creates a library of a predefined size introduces various types of mutations, including point mutations, insertions, and deletions in each mutant. By integrating it with machine learning approaches trained on extensive datasets, this tool can be used to identify appropriate optimized candidates.</w:t>
      </w:r>
    </w:p>
    <w:p>
      <w:pPr>
        <w:pStyle w:val="SourceCode"/>
      </w:pPr>
      <w:r>
        <w:rPr>
          <w:rStyle w:val="VerbatimChar"/>
        </w:rPr>
        <w:t xml:space="preserve"># Pseudocode for in-silico mutant generator</w:t>
      </w:r>
      <w:r>
        <w:br/>
      </w:r>
      <w:r>
        <w:rPr>
          <w:rStyle w:val="VerbatimChar"/>
        </w:rPr>
        <w:t xml:space="preserve">INPUT: Target DNA Sequence (FASTA file / string) </w:t>
      </w:r>
      <w:r>
        <w:br/>
      </w:r>
      <w:r>
        <w:rPr>
          <w:rStyle w:val="VerbatimChar"/>
        </w:rPr>
        <w:t xml:space="preserve">OUPUT: Mutant Library (FASTA file)</w:t>
      </w:r>
      <w:r>
        <w:br/>
      </w:r>
      <w:r>
        <w:br/>
      </w:r>
      <w:r>
        <w:rPr>
          <w:rStyle w:val="VerbatimChar"/>
        </w:rPr>
        <w:t xml:space="preserve">FUNCTION GenerateMutantLibrary(originalSequence, mutLibSize, numMutants):</w:t>
      </w:r>
      <w:r>
        <w:br/>
      </w:r>
      <w:r>
        <w:rPr>
          <w:rStyle w:val="VerbatimChar"/>
        </w:rPr>
        <w:t xml:space="preserve">    mutantLibrary = []  # List to store mutants</w:t>
      </w:r>
      <w:r>
        <w:br/>
      </w:r>
      <w:r>
        <w:br/>
      </w:r>
      <w:r>
        <w:rPr>
          <w:rStyle w:val="VerbatimChar"/>
        </w:rPr>
        <w:t xml:space="preserve">    FOR x FROM 1 to mutLibSize:</w:t>
      </w:r>
      <w:r>
        <w:br/>
      </w:r>
      <w:r>
        <w:rPr>
          <w:rStyle w:val="VerbatimChar"/>
        </w:rPr>
        <w:t xml:space="preserve">        FOR i FROM 1 TO numMutants:</w:t>
      </w:r>
      <w:r>
        <w:br/>
      </w:r>
      <w:r>
        <w:rPr>
          <w:rStyle w:val="VerbatimChar"/>
        </w:rPr>
        <w:t xml:space="preserve">            # Start with the original sequence</w:t>
      </w:r>
      <w:r>
        <w:br/>
      </w:r>
      <w:r>
        <w:rPr>
          <w:rStyle w:val="VerbatimChar"/>
        </w:rPr>
        <w:t xml:space="preserve">            mutantSequence = originalSequence  </w:t>
      </w:r>
      <w:r>
        <w:br/>
      </w:r>
      <w:r>
        <w:br/>
      </w:r>
      <w:r>
        <w:rPr>
          <w:rStyle w:val="VerbatimChar"/>
        </w:rPr>
        <w:t xml:space="preserve">            # Mutate a random sequence with random base</w:t>
      </w:r>
      <w:r>
        <w:br/>
      </w:r>
      <w:r>
        <w:rPr>
          <w:rStyle w:val="VerbatimChar"/>
        </w:rPr>
        <w:t xml:space="preserve">            position = RandomPosition(originalSequence.length)</w:t>
      </w:r>
      <w:r>
        <w:br/>
      </w:r>
      <w:r>
        <w:rPr>
          <w:rStyle w:val="VerbatimChar"/>
        </w:rPr>
        <w:t xml:space="preserve">            newBase = RandomBase(exclude=originalSequence[position])</w:t>
      </w:r>
      <w:r>
        <w:br/>
      </w:r>
      <w:r>
        <w:rPr>
          <w:rStyle w:val="VerbatimChar"/>
        </w:rPr>
        <w:t xml:space="preserve">            mutantSequence[position] = newBase</w:t>
      </w:r>
      <w:r>
        <w:br/>
      </w:r>
      <w:r>
        <w:rPr>
          <w:rStyle w:val="VerbatimChar"/>
        </w:rPr>
        <w:t xml:space="preserve">    </w:t>
      </w:r>
      <w:r>
        <w:br/>
      </w:r>
      <w:r>
        <w:rPr>
          <w:rStyle w:val="VerbatimChar"/>
        </w:rPr>
        <w:t xml:space="preserve">            # Store mutant DNA and AA sequences</w:t>
      </w:r>
      <w:r>
        <w:br/>
      </w:r>
      <w:r>
        <w:rPr>
          <w:rStyle w:val="VerbatimChar"/>
        </w:rPr>
        <w:t xml:space="preserve">            mutantLibrary.append((DNAmutantSequence, AAmutantSequence))</w:t>
      </w:r>
      <w:r>
        <w:br/>
      </w:r>
      <w:r>
        <w:br/>
      </w:r>
      <w:r>
        <w:rPr>
          <w:rStyle w:val="VerbatimChar"/>
        </w:rPr>
        <w:t xml:space="preserve">    RETURN mutantLibrary</w:t>
      </w:r>
    </w:p>
    <w:p>
      <w:pPr>
        <w:pStyle w:val="FirstParagraph"/>
      </w:pPr>
      <w:r>
        <w:t xml:space="preserve">A simple user interface (UI) for the algorithm is available at</w:t>
      </w:r>
      <w:r>
        <w:t xml:space="preserve"> </w:t>
      </w:r>
      <w:hyperlink r:id="rId39">
        <w:r>
          <w:rPr>
            <w:rStyle w:val="Hyperlink"/>
          </w:rPr>
          <w:t xml:space="preserve">https://insilicomutantlib.streamlit.app/</w:t>
        </w:r>
      </w:hyperlink>
    </w:p>
    <w:bookmarkEnd w:id="40"/>
    <w:bookmarkStart w:id="42" w:name="primer-design"/>
    <w:p>
      <w:pPr>
        <w:pStyle w:val="Heading4"/>
      </w:pPr>
      <w:r>
        <w:t xml:space="preserve">2.3.2.2 Primer design:</w:t>
      </w:r>
    </w:p>
    <w:p>
      <w:pPr>
        <w:pStyle w:val="FirstParagraph"/>
      </w:pPr>
      <w:r>
        <w:t xml:space="preserve">Site-directed mutagenesis (SDM) is a technique used to introduce specific nucleotide changes into a DNA sequence, allowing researchers to study gene function, protein interactions, and other biological processes. Automating the primer design process for SDM can significantly enhance efficiency and accuracy. The algorithm generates primers in a way that accommodates various assembly techniques, including Gibson assembly, staggered Gibson assembly, and ligation assembly, for site-directed mutagenesis (SDM). For Gibson assembly, the primers are designed to be completely overlapping regions with the target mutation at the middle, facilitating the seamless integration of DNA fragments in a single reaction. In the case of staggered Gibson assembly, the algorithm designs one primer with the mutated base, and the other primer has 10bp of a flanking region. For ligation assembly, the primers are crafted to produce compatible ends, ensuring effective joining of the mutated fragments using DNA ligase. The tool can generate primers for a large number of mutants, even those containing multiple mutations, using the output from the in-silico mutant library. This capability is particularly advantageous in high-throughput experimental settings where researchers aim to explore a diverse array of genetic modifications simultaneously.</w:t>
      </w:r>
    </w:p>
    <w:p>
      <w:pPr>
        <w:pStyle w:val="BodyText"/>
      </w:pPr>
      <w:r>
        <w:t xml:space="preserve">The tool also designs primers for multiplexed barcode sequencing, a process elaborated upon in Chapter 4. Users can input their specific target sequences into the tool, which then generates complementary primers optimized for those sequences. A key feature of this tool is its ability to incorporate pre-defined barcodes into the primers, allowing for the simultaneous analysis of multiple samples in a single sequencing run.</w:t>
      </w:r>
    </w:p>
    <w:p>
      <w:pPr>
        <w:pStyle w:val="BodyText"/>
      </w:pPr>
      <w:r>
        <w:t xml:space="preserve">First, the melting temperature (Tm) is carefully calculated and adjusted to promote efficient annealing to the target DNA. This optimization helps ensure that the primers will bind effectively under the chosen PCR conditions, thereby increasing the likelihood of successful amplification. Additionally, the GC content of each primer is tailored to fall within an ideal range, typically between 40% and 60%. This balance enhances the stability of the primer-template duplex, improving the fidelity of the resulting PCR product. Importantly, the design process avoids incorporating thymine at the 3’ end of the primers, as this can lead to non-specific binding and reduced efficiency in the amplification process.</w:t>
      </w:r>
      <w:r>
        <w:br/>
      </w:r>
    </w:p>
    <w:p>
      <w:pPr>
        <w:pStyle w:val="SourceCode"/>
      </w:pPr>
      <w:r>
        <w:br/>
      </w:r>
      <w:r>
        <w:rPr>
          <w:rStyle w:val="VerbatimChar"/>
        </w:rPr>
        <w:t xml:space="preserve"># Pseudocode for primer design for SDM</w:t>
      </w:r>
      <w:r>
        <w:br/>
      </w:r>
      <w:r>
        <w:rPr>
          <w:rStyle w:val="VerbatimChar"/>
        </w:rPr>
        <w:t xml:space="preserve">FUNCTION DesignPrimers(targetSequence, mutation, assemblyType):</w:t>
      </w:r>
      <w:r>
        <w:br/>
      </w:r>
      <w:r>
        <w:rPr>
          <w:rStyle w:val="VerbatimChar"/>
        </w:rPr>
        <w:t xml:space="preserve">    # Initialize empty lists for primers</w:t>
      </w:r>
      <w:r>
        <w:br/>
      </w:r>
      <w:r>
        <w:rPr>
          <w:rStyle w:val="VerbatimChar"/>
        </w:rPr>
        <w:t xml:space="preserve">    forwardPrimer = []</w:t>
      </w:r>
      <w:r>
        <w:br/>
      </w:r>
      <w:r>
        <w:rPr>
          <w:rStyle w:val="VerbatimChar"/>
        </w:rPr>
        <w:t xml:space="preserve">    reversePrimer = []</w:t>
      </w:r>
      <w:r>
        <w:br/>
      </w:r>
      <w:r>
        <w:br/>
      </w:r>
      <w:r>
        <w:rPr>
          <w:rStyle w:val="VerbatimChar"/>
        </w:rPr>
        <w:t xml:space="preserve">    # Determine mutation position</w:t>
      </w:r>
      <w:r>
        <w:br/>
      </w:r>
      <w:r>
        <w:rPr>
          <w:rStyle w:val="VerbatimChar"/>
        </w:rPr>
        <w:t xml:space="preserve">    mutationPosition = FindMutationPosition(targetSequence, mutation)</w:t>
      </w:r>
      <w:r>
        <w:br/>
      </w:r>
      <w:r>
        <w:br/>
      </w:r>
      <w:r>
        <w:rPr>
          <w:rStyle w:val="VerbatimChar"/>
        </w:rPr>
        <w:t xml:space="preserve">    # Generate forward primer with mutation</w:t>
      </w:r>
      <w:r>
        <w:br/>
      </w:r>
      <w:r>
        <w:rPr>
          <w:rStyle w:val="VerbatimChar"/>
        </w:rPr>
        <w:t xml:space="preserve">    IF assemblyType == "Gibson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reverseComplementaryDNA(forwardPrimer)</w:t>
      </w:r>
      <w:r>
        <w:br/>
      </w:r>
      <w:r>
        <w:rPr>
          <w:rStyle w:val="VerbatimChar"/>
        </w:rPr>
        <w:t xml:space="preserve">        forwardPrimer_final, reversePrimer_final = optimizePrimers(forwardPrimer, reversePrimer)</w:t>
      </w:r>
      <w:r>
        <w:br/>
      </w:r>
      <w:r>
        <w:rPr>
          <w:rStyle w:val="VerbatimChar"/>
        </w:rPr>
        <w:t xml:space="preserve">    </w:t>
      </w:r>
      <w:r>
        <w:br/>
      </w:r>
      <w:r>
        <w:rPr>
          <w:rStyle w:val="VerbatimChar"/>
        </w:rPr>
        <w:t xml:space="preserve">    ELSE IF assemblyType == "Staggered Gibson Assembly":</w:t>
      </w:r>
      <w:r>
        <w:br/>
      </w:r>
      <w:r>
        <w:rPr>
          <w:rStyle w:val="VerbatimChar"/>
        </w:rPr>
        <w:t xml:space="preserve">        forwardPrimer = [mutationPosition - 10:mutationPosition] + mutation + [mutationPosition:mutationPosition + 15]</w:t>
      </w:r>
      <w:r>
        <w:br/>
      </w:r>
      <w:r>
        <w:rPr>
          <w:rStyle w:val="VerbatimChar"/>
        </w:rPr>
        <w:t xml:space="preserve">        reversePrimer = reverseComplementaryDNA(mutationPosition:mutationPosition + 15)</w:t>
      </w:r>
      <w:r>
        <w:br/>
      </w:r>
      <w:r>
        <w:rPr>
          <w:rStyle w:val="VerbatimChar"/>
        </w:rPr>
        <w:t xml:space="preserve">        forwardPrimer_final, reversePrimer_final = optimizePrimers(forwardPrimer, reversePrimer)</w:t>
      </w:r>
      <w:r>
        <w:br/>
      </w:r>
      <w:r>
        <w:br/>
      </w:r>
      <w:r>
        <w:rPr>
          <w:rStyle w:val="VerbatimChar"/>
        </w:rPr>
        <w:t xml:space="preserve">    ELSE IF assemblyType == "Ligation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reverseComplementaryDNA(mutationPosition + 10: mutationPosition + 30)</w:t>
      </w:r>
      <w:r>
        <w:br/>
      </w:r>
      <w:r>
        <w:rPr>
          <w:rStyle w:val="VerbatimChar"/>
        </w:rPr>
        <w:t xml:space="preserve">        forwardPrimer_final, reversePrimer_final = optimizePrimers(forwardPrimer, reversePrimer)</w:t>
      </w:r>
      <w:r>
        <w:br/>
      </w:r>
      <w:r>
        <w:br/>
      </w:r>
      <w:r>
        <w:rPr>
          <w:rStyle w:val="VerbatimChar"/>
        </w:rPr>
        <w:t xml:space="preserve">    RETURN (forwardPrimer_final, reversePrimer_final)</w:t>
      </w:r>
      <w:r>
        <w:br/>
      </w:r>
      <w:r>
        <w:br/>
      </w:r>
      <w:r>
        <w:br/>
      </w:r>
      <w:r>
        <w:rPr>
          <w:rStyle w:val="VerbatimChar"/>
        </w:rPr>
        <w:t xml:space="preserve">FUNCTION PrimersMutantLibrary(FASTAfile, mutations, assemblyType)   </w:t>
      </w:r>
      <w:r>
        <w:br/>
      </w:r>
      <w:r>
        <w:rPr>
          <w:rStyle w:val="VerbatimChar"/>
        </w:rPr>
        <w:t xml:space="preserve">    sequences = read(FASTAfile)</w:t>
      </w:r>
      <w:r>
        <w:br/>
      </w:r>
      <w:r>
        <w:rPr>
          <w:rStyle w:val="VerbatimChar"/>
        </w:rPr>
        <w:t xml:space="preserve">    primerList = []</w:t>
      </w:r>
      <w:r>
        <w:br/>
      </w:r>
      <w:r>
        <w:br/>
      </w:r>
      <w:r>
        <w:rPr>
          <w:rStyle w:val="VerbatimChar"/>
        </w:rPr>
        <w:t xml:space="preserve">    FOR sequence in sequences:</w:t>
      </w:r>
      <w:r>
        <w:br/>
      </w:r>
      <w:r>
        <w:rPr>
          <w:rStyle w:val="VerbatimChar"/>
        </w:rPr>
        <w:t xml:space="preserve">        FOR eachMutation in mutations:</w:t>
      </w:r>
      <w:r>
        <w:br/>
      </w:r>
      <w:r>
        <w:rPr>
          <w:rStyle w:val="VerbatimChar"/>
        </w:rPr>
        <w:t xml:space="preserve">            primers = DesignPrimers(sequence, eachMutation, assemblyType)</w:t>
      </w:r>
      <w:r>
        <w:br/>
      </w:r>
      <w:r>
        <w:rPr>
          <w:rStyle w:val="VerbatimChar"/>
        </w:rPr>
        <w:t xml:space="preserve">        primerList = [primers]</w:t>
      </w:r>
      <w:r>
        <w:br/>
      </w:r>
      <w:r>
        <w:br/>
      </w:r>
      <w:r>
        <w:rPr>
          <w:rStyle w:val="VerbatimChar"/>
        </w:rPr>
        <w:t xml:space="preserve">    RETURN (primerList)</w:t>
      </w:r>
      <w:r>
        <w:br/>
      </w:r>
      <w:r>
        <w:rPr>
          <w:rStyle w:val="VerbatimChar"/>
        </w:rPr>
        <w:t xml:space="preserve">    </w:t>
      </w:r>
    </w:p>
    <w:p>
      <w:pPr>
        <w:pStyle w:val="SourceCode"/>
      </w:pPr>
      <w:r>
        <w:br/>
      </w:r>
      <w:r>
        <w:rPr>
          <w:rStyle w:val="VerbatimChar"/>
        </w:rPr>
        <w:t xml:space="preserve"># Pseudocode for barcode primer design</w:t>
      </w:r>
      <w:r>
        <w:br/>
      </w:r>
      <w:r>
        <w:rPr>
          <w:rStyle w:val="VerbatimChar"/>
        </w:rPr>
        <w:t xml:space="preserve">FUNCTION BarcodePrimers(frontPrimer, reversePrimer, forwardBarcodeList, reverseBarcodeList):</w:t>
      </w:r>
      <w:r>
        <w:br/>
      </w:r>
      <w:r>
        <w:rPr>
          <w:rStyle w:val="VerbatimChar"/>
        </w:rPr>
        <w:t xml:space="preserve">    FOR barcode in forwardBarcodeList:</w:t>
      </w:r>
      <w:r>
        <w:br/>
      </w:r>
      <w:r>
        <w:rPr>
          <w:rStyle w:val="VerbatimChar"/>
        </w:rPr>
        <w:t xml:space="preserve">        barcodedForwardPrimer = frontPrimer + barcode</w:t>
      </w:r>
      <w:r>
        <w:br/>
      </w:r>
      <w:r>
        <w:rPr>
          <w:rStyle w:val="VerbatimChar"/>
        </w:rPr>
        <w:t xml:space="preserve">    forwardPrimerList = [barcodedForwardPrimer]</w:t>
      </w:r>
      <w:r>
        <w:br/>
      </w:r>
      <w:r>
        <w:br/>
      </w:r>
      <w:r>
        <w:rPr>
          <w:rStyle w:val="VerbatimChar"/>
        </w:rPr>
        <w:t xml:space="preserve">    FOR barcode in reverseBarcodeList:</w:t>
      </w:r>
      <w:r>
        <w:br/>
      </w:r>
      <w:r>
        <w:rPr>
          <w:rStyle w:val="VerbatimChar"/>
        </w:rPr>
        <w:t xml:space="preserve">        barcodedReversePrimer = reversePrimer + barcode</w:t>
      </w:r>
      <w:r>
        <w:br/>
      </w:r>
      <w:r>
        <w:rPr>
          <w:rStyle w:val="VerbatimChar"/>
        </w:rPr>
        <w:t xml:space="preserve">    reversePrimerList = [barcodedReversePrimer]</w:t>
      </w:r>
      <w:r>
        <w:br/>
      </w:r>
      <w:r>
        <w:br/>
      </w:r>
      <w:r>
        <w:rPr>
          <w:rStyle w:val="VerbatimChar"/>
        </w:rPr>
        <w:t xml:space="preserve">    forwardPrimer_final, reversePrimer_final = optimizePrimers(forwardPrimerList, reversePrimerList)</w:t>
      </w:r>
      <w:r>
        <w:br/>
      </w:r>
      <w:r>
        <w:br/>
      </w:r>
      <w:r>
        <w:rPr>
          <w:rStyle w:val="VerbatimChar"/>
        </w:rPr>
        <w:t xml:space="preserve">    RETURN (forwardPrimer_final, reversePrimer_final)</w:t>
      </w:r>
    </w:p>
    <w:p>
      <w:pPr>
        <w:pStyle w:val="FirstParagraph"/>
      </w:pPr>
      <w:r>
        <w:t xml:space="preserve">A simple user interface (UI) for the algorithm is available at</w:t>
      </w:r>
      <w:r>
        <w:t xml:space="preserve"> </w:t>
      </w:r>
      <w:hyperlink r:id="rId41">
        <w:r>
          <w:rPr>
            <w:rStyle w:val="Hyperlink"/>
          </w:rPr>
          <w:t xml:space="preserve">https://mutprimergen.streamlit.app/</w:t>
        </w:r>
      </w:hyperlink>
    </w:p>
    <w:bookmarkEnd w:id="42"/>
    <w:bookmarkEnd w:id="43"/>
    <w:bookmarkStart w:id="45" w:name="machine-interoperability"/>
    <w:p>
      <w:pPr>
        <w:pStyle w:val="Heading3"/>
      </w:pPr>
      <w:r>
        <w:t xml:space="preserve">2.3.3 Machine Interoperability:</w:t>
      </w:r>
    </w:p>
    <w:p>
      <w:pPr>
        <w:pStyle w:val="FirstParagraph"/>
      </w:pPr>
      <w:r>
        <w:t xml:space="preserve">Most automated machines feature user interfaces designed to facilitate the mapping of wells for essential laboratory tasks such as aspirating, dispensing, and mixing liquids. These interfaces simplify the process by allowing users to visually select and configure the wells according to their experimental needs. Additionally, many of these systems can operate using CSV (Comma-Separated Values) files, which contain critical information, including Source Well, Destination Well, and Volume. When faced with complex workflows involving numerous samples, utilizing an automated script to map the samples in a CSV file can significantly enhance efficiency and accuracy. Workflows can be organized to work continuously in this manner. The script for the same is available on</w:t>
      </w:r>
      <w:r>
        <w:t xml:space="preserve"> </w:t>
      </w:r>
      <w:hyperlink r:id="rId44">
        <w:r>
          <w:rPr>
            <w:rStyle w:val="Hyperlink"/>
          </w:rPr>
          <w:t xml:space="preserve">https://github.com/aputron/streamlitapps/tree/main</w:t>
        </w:r>
      </w:hyperlink>
    </w:p>
    <w:bookmarkEnd w:id="45"/>
    <w:bookmarkStart w:id="50" w:name="analysis-tools"/>
    <w:p>
      <w:pPr>
        <w:pStyle w:val="Heading3"/>
      </w:pPr>
      <w:r>
        <w:t xml:space="preserve">2.3.4 Analysis Tools:</w:t>
      </w:r>
    </w:p>
    <w:bookmarkStart w:id="49" w:name="nanopore-analysis"/>
    <w:p>
      <w:pPr>
        <w:pStyle w:val="Heading4"/>
      </w:pPr>
      <w:r>
        <w:t xml:space="preserve">2.3.4.1 Nanopore Analysis:</w:t>
      </w:r>
    </w:p>
    <w:p>
      <w:pPr>
        <w:pStyle w:val="FirstParagraph"/>
      </w:pPr>
      <w:r>
        <w:drawing>
          <wp:inline>
            <wp:extent cx="5334000" cy="3805719"/>
            <wp:effectExtent b="0" l="0" r="0" t="0"/>
            <wp:docPr descr="" title="" id="47" name="Picture"/>
            <a:graphic>
              <a:graphicData uri="http://schemas.openxmlformats.org/drawingml/2006/picture">
                <pic:pic>
                  <pic:nvPicPr>
                    <pic:cNvPr descr="chapters/images/nanopore_analysis.png" id="48" name="Picture"/>
                    <pic:cNvPicPr>
                      <a:picLocks noChangeArrowheads="1" noChangeAspect="1"/>
                    </pic:cNvPicPr>
                  </pic:nvPicPr>
                  <pic:blipFill>
                    <a:blip r:embed="rId46"/>
                    <a:stretch>
                      <a:fillRect/>
                    </a:stretch>
                  </pic:blipFill>
                  <pic:spPr bwMode="auto">
                    <a:xfrm>
                      <a:off x="0" y="0"/>
                      <a:ext cx="5334000" cy="3805719"/>
                    </a:xfrm>
                    <a:prstGeom prst="rect">
                      <a:avLst/>
                    </a:prstGeom>
                    <a:noFill/>
                    <a:ln w="9525">
                      <a:noFill/>
                      <a:headEnd/>
                      <a:tailEnd/>
                    </a:ln>
                  </pic:spPr>
                </pic:pic>
              </a:graphicData>
            </a:graphic>
          </wp:inline>
        </w:drawing>
      </w:r>
    </w:p>
    <w:bookmarkEnd w:id="49"/>
    <w:bookmarkEnd w:id="50"/>
    <w:bookmarkStart w:id="55" w:name="accesibility-to-modelling-tools"/>
    <w:p>
      <w:pPr>
        <w:pStyle w:val="Heading3"/>
      </w:pPr>
      <w:r>
        <w:t xml:space="preserve">2.3.5 Accesibility to Modelling Tools:</w:t>
      </w:r>
    </w:p>
    <w:p>
      <w:pPr>
        <w:pStyle w:val="FirstParagraph"/>
      </w:pPr>
      <w:r>
        <w:t xml:space="preserve">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pPr>
        <w:pStyle w:val="BodyText"/>
      </w:pPr>
      <w:r>
        <w:t xml:space="preserve">Many of the available tools require specialized knowledge of programming and mathematical modeling, creating a steep learning curve for researchers who may not have a strong computational 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pPr>
        <w:pStyle w:val="BodyText"/>
      </w:pPr>
      <w:r>
        <w:t xml:space="preserve">Even when large models are made accessible on platforms like Google Colab, such as ColabFold,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[14]. Having locally hosted databases and models downloaded allows for more accurate analysis and predictions [15].</w:t>
      </w:r>
    </w:p>
    <w:p>
      <w:pPr>
        <w:pStyle w:val="BodyText"/>
      </w:pPr>
      <w:r>
        <w:t xml:space="preserve">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 [16]</w:t>
      </w:r>
    </w:p>
    <w:bookmarkStart w:id="54" w:name="alphafoldrosettafold-ui"/>
    <w:p>
      <w:pPr>
        <w:pStyle w:val="Heading4"/>
      </w:pPr>
      <w:r>
        <w:t xml:space="preserve">2.3.5.1 AlphaFold/RosettaFold UI:</w:t>
      </w:r>
    </w:p>
    <w:p>
      <w:pPr>
        <w:pStyle w:val="FirstParagraph"/>
      </w:pPr>
      <w:r>
        <w:drawing>
          <wp:inline>
            <wp:extent cx="2428875" cy="2578893"/>
            <wp:effectExtent b="0" l="0" r="0" t="0"/>
            <wp:docPr descr="" title="" id="52" name="Picture"/>
            <a:graphic>
              <a:graphicData uri="http://schemas.openxmlformats.org/drawingml/2006/picture">
                <pic:pic>
                  <pic:nvPicPr>
                    <pic:cNvPr descr="chapters/images/AF_UI.png" id="53" name="Picture"/>
                    <pic:cNvPicPr>
                      <a:picLocks noChangeArrowheads="1" noChangeAspect="1"/>
                    </pic:cNvPicPr>
                  </pic:nvPicPr>
                  <pic:blipFill>
                    <a:blip r:embed="rId51"/>
                    <a:stretch>
                      <a:fillRect/>
                    </a:stretch>
                  </pic:blipFill>
                  <pic:spPr bwMode="auto">
                    <a:xfrm>
                      <a:off x="0" y="0"/>
                      <a:ext cx="2428875" cy="2578893"/>
                    </a:xfrm>
                    <a:prstGeom prst="rect">
                      <a:avLst/>
                    </a:prstGeom>
                    <a:noFill/>
                    <a:ln w="9525">
                      <a:noFill/>
                      <a:headEnd/>
                      <a:tailEnd/>
                    </a:ln>
                  </pic:spPr>
                </pic:pic>
              </a:graphicData>
            </a:graphic>
          </wp:inline>
        </w:drawing>
      </w:r>
    </w:p>
    <w:bookmarkEnd w:id="54"/>
    <w:bookmarkEnd w:id="55"/>
    <w:bookmarkStart w:id="63" w:name="visualization-tools"/>
    <w:p>
      <w:pPr>
        <w:pStyle w:val="Heading3"/>
      </w:pPr>
      <w:r>
        <w:t xml:space="preserve">2.3.6 Visualization Tools:</w:t>
      </w:r>
    </w:p>
    <w:p>
      <w:pPr>
        <w:pStyle w:val="FirstParagraph"/>
      </w:pPr>
      <w:r>
        <w:t xml:space="preserve">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 [17]</w:t>
      </w:r>
    </w:p>
    <w:p>
      <w:pPr>
        <w:pStyle w:val="BodyText"/>
      </w:pPr>
      <w:r>
        <w:t xml:space="preserve">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 [18,19, 20]</w:t>
      </w:r>
    </w:p>
    <w:p>
      <w:pPr>
        <w:pStyle w:val="BodyText"/>
      </w:pPr>
      <w:r>
        <w:drawing>
          <wp:inline>
            <wp:extent cx="5334000" cy="4213205"/>
            <wp:effectExtent b="0" l="0" r="0" t="0"/>
            <wp:docPr descr="" title="" id="57" name="Picture"/>
            <a:graphic>
              <a:graphicData uri="http://schemas.openxmlformats.org/drawingml/2006/picture">
                <pic:pic>
                  <pic:nvPicPr>
                    <pic:cNvPr descr="chapters/images/paste-1.png" id="58" name="Picture"/>
                    <pic:cNvPicPr>
                      <a:picLocks noChangeArrowheads="1" noChangeAspect="1"/>
                    </pic:cNvPicPr>
                  </pic:nvPicPr>
                  <pic:blipFill>
                    <a:blip r:embed="rId56"/>
                    <a:stretch>
                      <a:fillRect/>
                    </a:stretch>
                  </pic:blipFill>
                  <pic:spPr bwMode="auto">
                    <a:xfrm>
                      <a:off x="0" y="0"/>
                      <a:ext cx="5334000" cy="4213205"/>
                    </a:xfrm>
                    <a:prstGeom prst="rect">
                      <a:avLst/>
                    </a:prstGeom>
                    <a:noFill/>
                    <a:ln w="9525">
                      <a:noFill/>
                      <a:headEnd/>
                      <a:tailEnd/>
                    </a:ln>
                  </pic:spPr>
                </pic:pic>
              </a:graphicData>
            </a:graphic>
          </wp:inline>
        </w:drawing>
      </w:r>
    </w:p>
    <w:bookmarkStart w:id="60" w:name="facs-visualization"/>
    <w:p>
      <w:pPr>
        <w:pStyle w:val="Heading4"/>
      </w:pPr>
      <w:r>
        <w:t xml:space="preserve">2.3.6.1 FACS Visualization:</w:t>
      </w:r>
    </w:p>
    <w:p>
      <w:pPr>
        <w:pStyle w:val="FirstParagraph"/>
      </w:pPr>
      <w:r>
        <w:t xml:space="preserve">Proprietary tools, such as FlowJo, FCS Express, and Kaluza, have emerged as the predominant solutions for flow cytometry analysis, and their widespread adoption can be attributed to several key factors. These tools provide a robust and intuitive user experience (UX), which enhances usability and facilitates efficient data interpretation. Additionally, they lower the barrier to entry for users, making the technology more accessible to individuals with varying levels of expertise. Furthermore, the extensive documentation and support resources available for such tools enable users to navigate the complexities of flow cytometry with greater confidence and ease. Despite their advantages, proprietary tools for flow cytometry analysis have high licensing costs, learning curve for new users given the depth of features, and lag times with large datasets. Often, the resulting files aren’t standardized enough to enable robust integration with downstream applications like electronic lab notebooks.</w:t>
      </w:r>
    </w:p>
    <w:p>
      <w:pPr>
        <w:pStyle w:val="BodyText"/>
      </w:pPr>
      <w:r>
        <w:t xml:space="preserve">In this thesis, we utilize the open-sourced python library, FlowCal to extract the data from fcs files and can be used to make informed decisions on downstream processes.</w:t>
      </w:r>
    </w:p>
    <w:p>
      <w:pPr>
        <w:pStyle w:val="BodyText"/>
      </w:pPr>
      <w:r>
        <w:t xml:space="preserve">A simple user interface (UI) for the algorithm is available at</w:t>
      </w:r>
      <w:r>
        <w:t xml:space="preserve"> </w:t>
      </w:r>
      <w:hyperlink r:id="rId59">
        <w:r>
          <w:rPr>
            <w:rStyle w:val="Hyperlink"/>
          </w:rPr>
          <w:t xml:space="preserve">https://facsvisualization.streamlit.app/</w:t>
        </w:r>
      </w:hyperlink>
    </w:p>
    <w:bookmarkEnd w:id="60"/>
    <w:bookmarkStart w:id="62" w:name="mutant-variability-visualizer"/>
    <w:p>
      <w:pPr>
        <w:pStyle w:val="Heading4"/>
      </w:pPr>
      <w:r>
        <w:t xml:space="preserve">2.3.6.2 Mutant Variability Visualizer:</w:t>
      </w:r>
    </w:p>
    <w:p>
      <w:pPr>
        <w:pStyle w:val="FirstParagraph"/>
      </w:pPr>
      <w:r>
        <w:t xml:space="preserve">Directed evolution is a widely employed strategy for optimizing bio-parts, allowing researchers to enhance their functionality by exploring a diverse array of mutations within a given library. This thesis mainly focuses on analyzing long-read sequencing results derived from these mutant libraries, which provide comprehensive insights into the genetic variations present. By leveraging the advantages of long-read sequencing, the research can capture complex structural variations and facilitate the assembly of more complete sequences. Visualizing the variation within these libraries becomes crucial, as it allows for a more intuitive understanding of the data, making it easier to identify patterns and correlations between specific mutations and their resulting phenotypes. This visualization aids in pinpointing advantageous traits and helps guide subsequent rounds of evolution, ultimately driving the optimization process more efficiently.</w:t>
      </w:r>
    </w:p>
    <w:p>
      <w:pPr>
        <w:pStyle w:val="BodyText"/>
      </w:pPr>
      <w:r>
        <w:t xml:space="preserve">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 simple user interface (UI) for the algorithm is available at</w:t>
      </w:r>
      <w:r>
        <w:t xml:space="preserve"> </w:t>
      </w:r>
      <w:hyperlink r:id="rId61">
        <w:r>
          <w:rPr>
            <w:rStyle w:val="Hyperlink"/>
          </w:rPr>
          <w:t xml:space="preserve">https://libraryanalysis.streamlit.app/</w:t>
        </w:r>
      </w:hyperlink>
    </w:p>
    <w:bookmarkEnd w:id="62"/>
    <w:bookmarkEnd w:id="63"/>
    <w:bookmarkStart w:id="65" w:name="tools-for-data-storage-and-sharing"/>
    <w:p>
      <w:pPr>
        <w:pStyle w:val="Heading3"/>
      </w:pPr>
      <w:r>
        <w:t xml:space="preserve">2.3.7 Tools for Data Storage and Sharing:</w:t>
      </w:r>
    </w:p>
    <w:bookmarkStart w:id="64" w:name="server-management"/>
    <w:p>
      <w:pPr>
        <w:pStyle w:val="Heading4"/>
      </w:pPr>
      <w:r>
        <w:t xml:space="preserve">2.3.7.1 Server Management:</w:t>
      </w:r>
    </w:p>
    <w:bookmarkEnd w:id="64"/>
    <w:bookmarkEnd w:id="65"/>
    <w:bookmarkEnd w:id="66"/>
    <w:bookmarkStart w:id="67" w:name="methods"/>
    <w:p>
      <w:pPr>
        <w:pStyle w:val="Heading2"/>
      </w:pPr>
      <w:r>
        <w:t xml:space="preserve">2.4 Methods</w:t>
      </w:r>
    </w:p>
    <w:p>
      <w:pPr>
        <w:pStyle w:val="FirstParagraph"/>
      </w:pPr>
      <w:r>
        <w:t xml:space="preserve">All applications were developed on Python version 3.11.0. and all public applications were made on Streamlit version 1.39.0. The AlphaFold2 user interface was developed using ShinyR.</w:t>
      </w:r>
    </w:p>
    <w:bookmarkEnd w:id="67"/>
    <w:bookmarkEnd w:id="68"/>
    <w:bookmarkStart w:id="73" w:name="references"/>
    <w:p>
      <w:pPr>
        <w:pStyle w:val="Heading1"/>
      </w:pPr>
      <w:r>
        <w:t xml:space="preserve">3. References</w:t>
      </w:r>
    </w:p>
    <w:p>
      <w:pPr>
        <w:pStyle w:val="FirstParagraph"/>
      </w:pPr>
      <w:r>
        <w:t xml:space="preserve">OLD</w:t>
      </w:r>
    </w:p>
    <w:p>
      <w:pPr>
        <w:numPr>
          <w:ilvl w:val="0"/>
          <w:numId w:val="1003"/>
        </w:numPr>
      </w:pPr>
      <w:r>
        <w:t xml:space="preserve">Hodgman CE, Jewett MC (2012) Cell-free synthetic biology: thinking outside the cell. Metab Eng 14:261–269. https://doi.org/ 10.1016/j.ymben.2011.09.002</w:t>
      </w:r>
    </w:p>
    <w:p>
      <w:pPr>
        <w:numPr>
          <w:ilvl w:val="0"/>
          <w:numId w:val="1003"/>
        </w:numPr>
      </w:pPr>
      <w:r>
        <w:t xml:space="preserve">King RD, Whelan KE, Jones FM et al (2004) Functional genomic hypothesis generation and experimentation by a robot scientist. Nature 427:247–252. https://doi.org/10.1038/nature02236</w:t>
      </w:r>
    </w:p>
    <w:p>
      <w:pPr>
        <w:numPr>
          <w:ilvl w:val="0"/>
          <w:numId w:val="1003"/>
        </w:numPr>
      </w:pPr>
      <w:r>
        <w:t xml:space="preserve">King RD, Rowland J, Oliver SG et al (2009) The automation of science. Science 324:85–89. https://doi.org/10.1126/science. 1165620</w:t>
      </w:r>
    </w:p>
    <w:p>
      <w:pPr>
        <w:numPr>
          <w:ilvl w:val="0"/>
          <w:numId w:val="1003"/>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3"/>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3"/>
        </w:numPr>
      </w:pPr>
      <w:r>
        <w:t xml:space="preserve">Kim KJ, Lee SJ, Kim DM (2023) The use of cell-free protein synthesis to push the boundaries of synthetic biology. Biotechnol Bioprocess Eng. https://doi.org/10.1007/s12257-022-0279-2</w:t>
      </w:r>
    </w:p>
    <w:p>
      <w:pPr>
        <w:numPr>
          <w:ilvl w:val="0"/>
          <w:numId w:val="1003"/>
        </w:numPr>
      </w:pPr>
      <w:r>
        <w:t xml:space="preserve">Kelly J (2022) Grow with ginkgo. Ginkgo Bioworks. https://s28. q4cdn.com/823357996/files/doc_presentations/2022/01/2022.01. 12-Ginkgo-DNA-JPM-2022.pdf.</w:t>
      </w:r>
    </w:p>
    <w:p>
      <w:pPr>
        <w:numPr>
          <w:ilvl w:val="0"/>
          <w:numId w:val="1003"/>
        </w:numPr>
      </w:pPr>
      <w:hyperlink r:id="rId69">
        <w:r>
          <w:rPr>
            <w:rStyle w:val="Hyperlink"/>
          </w:rPr>
          <w:t xml:space="preserve">https://www.cowen.com/transactions/amyris-inc-6-4-2020/</w:t>
        </w:r>
      </w:hyperlink>
    </w:p>
    <w:p>
      <w:pPr>
        <w:numPr>
          <w:ilvl w:val="0"/>
          <w:numId w:val="1003"/>
        </w:numPr>
      </w:pPr>
      <w:r>
        <w:t xml:space="preserve">Sogi GM (2023) Research waste. Contemp Clin Dent 14:179.</w:t>
      </w:r>
    </w:p>
    <w:p>
      <w:pPr>
        <w:numPr>
          <w:ilvl w:val="0"/>
          <w:numId w:val="1003"/>
        </w:numPr>
      </w:pPr>
      <w:r>
        <w:t xml:space="preserve">Kwok R (2018) How to pick an electronic laboratory notebook. Nature 560:269–270. https:// doi. org/ 10. 1038/ d41586-018-05895-3</w:t>
      </w:r>
    </w:p>
    <w:p>
      <w:pPr>
        <w:numPr>
          <w:ilvl w:val="0"/>
          <w:numId w:val="1003"/>
        </w:numPr>
      </w:pPr>
      <w:hyperlink r:id="rId70">
        <w:r>
          <w:rPr>
            <w:rStyle w:val="Hyperlink"/>
          </w:rPr>
          <w:t xml:space="preserve">https://www.idtdna.com/pages/community/blog/post/thinking-about-making-the-switch-to-an-electronic-lab-notebook-here-are-some-pros-and-cons</w:t>
        </w:r>
      </w:hyperlink>
    </w:p>
    <w:p>
      <w:pPr>
        <w:numPr>
          <w:ilvl w:val="0"/>
          <w:numId w:val="1003"/>
        </w:numPr>
      </w:pPr>
      <w:r>
        <w:t xml:space="preserve">David Eyers, Sarah Stevens, Andy Turner and Jeremy Cohen, Containers for reproducible research.</w:t>
      </w:r>
      <w:r>
        <w:t xml:space="preserve"> </w:t>
      </w:r>
      <w:hyperlink r:id="rId71">
        <w:r>
          <w:rPr>
            <w:rStyle w:val="Hyperlink"/>
          </w:rPr>
          <w:t xml:space="preserve">https://github.com/ImperialCollegeLondon/2020-07-13-Containers-Online/blob/gh-pages/CITATION</w:t>
        </w:r>
      </w:hyperlink>
    </w:p>
    <w:p>
      <w:pPr>
        <w:numPr>
          <w:ilvl w:val="0"/>
          <w:numId w:val="1003"/>
        </w:numPr>
      </w:pPr>
      <w:r>
        <w:t xml:space="preserve">Leahy, Darragh, and Christina Thorpe.</w:t>
      </w:r>
      <w:r>
        <w:t xml:space="preserve"> </w:t>
      </w:r>
      <w:r>
        <w:t xml:space="preserve">“</w:t>
      </w:r>
      <w:r>
        <w:t xml:space="preserve">Zero trust container architecture (ztca): A framework for applying zero trust principals to docker containers.</w:t>
      </w:r>
      <w:r>
        <w:t xml:space="preserve">”</w:t>
      </w:r>
      <w:r>
        <w:t xml:space="preserve"> </w:t>
      </w:r>
      <w:r>
        <w:rPr>
          <w:iCs/>
          <w:i/>
        </w:rPr>
        <w:t xml:space="preserve">International Conference on Cyber Warfare and Security</w:t>
      </w:r>
      <w:r>
        <w:t xml:space="preserve">. Vol. 17. No. 1. 2022.</w:t>
      </w:r>
    </w:p>
    <w:p>
      <w:pPr>
        <w:numPr>
          <w:ilvl w:val="0"/>
          <w:numId w:val="1003"/>
        </w:numPr>
      </w:pPr>
      <w:r>
        <w:t xml:space="preserve">Mirdita, M., Schütze, K., Moriwaki, Y., Heo, L., Ovchinnikov, S. and Steinegger, M., 2022. ColabFold: making protein folding accessible to all.</w:t>
      </w:r>
      <w:r>
        <w:t xml:space="preserve"> </w:t>
      </w:r>
      <w:r>
        <w:rPr>
          <w:iCs/>
          <w:i/>
        </w:rPr>
        <w:t xml:space="preserve">Nature methods</w:t>
      </w:r>
      <w:r>
        <w:t xml:space="preserve">,</w:t>
      </w:r>
      <w:r>
        <w:t xml:space="preserve"> </w:t>
      </w:r>
      <w:r>
        <w:rPr>
          <w:iCs/>
          <w:i/>
        </w:rPr>
        <w:t xml:space="preserve">19</w:t>
      </w:r>
      <w:r>
        <w:t xml:space="preserve">(6), pp.679-682.</w:t>
      </w:r>
    </w:p>
    <w:p>
      <w:pPr>
        <w:numPr>
          <w:ilvl w:val="0"/>
          <w:numId w:val="1003"/>
        </w:numPr>
      </w:pPr>
      <w:r>
        <w:t xml:space="preserve">Jumper, J., Evans, R., Pritzel, A., Green, T., Figurnov, M., Ronneberger, O., Tunyasuvunakool, K., Bates, R., Žídek, A., Potapenko, A. and Bridgland, A., 2021. Highly accurate protein structure prediction with AlphaFold.</w:t>
      </w:r>
      <w:r>
        <w:t xml:space="preserve"> </w:t>
      </w:r>
      <w:r>
        <w:rPr>
          <w:iCs/>
          <w:i/>
        </w:rPr>
        <w:t xml:space="preserve">nature</w:t>
      </w:r>
      <w:r>
        <w:t xml:space="preserve">,</w:t>
      </w:r>
      <w:r>
        <w:t xml:space="preserve"> </w:t>
      </w:r>
      <w:r>
        <w:rPr>
          <w:iCs/>
          <w:i/>
        </w:rPr>
        <w:t xml:space="preserve">596</w:t>
      </w:r>
      <w:r>
        <w:t xml:space="preserve">(7873), pp.583-589.</w:t>
      </w:r>
    </w:p>
    <w:p>
      <w:pPr>
        <w:numPr>
          <w:ilvl w:val="0"/>
          <w:numId w:val="1003"/>
        </w:numPr>
      </w:pPr>
      <w:r>
        <w:t xml:space="preserve">Eblen-Zayas, M., 2015. Comparing electronic and traditional Lab Notebooks in the advanced lab. In</w:t>
      </w:r>
      <w:r>
        <w:t xml:space="preserve"> </w:t>
      </w:r>
      <w:r>
        <w:rPr>
          <w:iCs/>
          <w:i/>
        </w:rPr>
        <w:t xml:space="preserve">Conference on Laboratory Instruction: Beyond the First Year of College, College Park, MD. Retrieved from https://www. compadre. org/Repository/document/ServeFile. cfm</w:t>
      </w:r>
      <w:r>
        <w:t xml:space="preserve">.</w:t>
      </w:r>
    </w:p>
    <w:p>
      <w:pPr>
        <w:numPr>
          <w:ilvl w:val="0"/>
          <w:numId w:val="1003"/>
        </w:numPr>
      </w:pPr>
      <w:r>
        <w:t xml:space="preserve">Wong, B., 2012. Visualizing biological data.</w:t>
      </w:r>
      <w:r>
        <w:t xml:space="preserve"> </w:t>
      </w:r>
      <w:r>
        <w:rPr>
          <w:iCs/>
          <w:i/>
        </w:rPr>
        <w:t xml:space="preserve">Nat Methods</w:t>
      </w:r>
      <w:r>
        <w:t xml:space="preserve">,</w:t>
      </w:r>
      <w:r>
        <w:t xml:space="preserve"> </w:t>
      </w:r>
      <w:r>
        <w:rPr>
          <w:iCs/>
          <w:i/>
        </w:rPr>
        <w:t xml:space="preserve">9</w:t>
      </w:r>
      <w:r>
        <w:t xml:space="preserve">(12), pp.1131-1131.</w:t>
      </w:r>
    </w:p>
    <w:p>
      <w:pPr>
        <w:numPr>
          <w:ilvl w:val="0"/>
          <w:numId w:val="1003"/>
        </w:numPr>
      </w:pPr>
      <w:hyperlink r:id="rId72">
        <w:r>
          <w:rPr>
            <w:rStyle w:val="Hyperlink"/>
          </w:rPr>
          <w:t xml:space="preserve">https://github.com/keller-mark/awesome-biological-visualizations</w:t>
        </w:r>
      </w:hyperlink>
    </w:p>
    <w:p>
      <w:pPr>
        <w:numPr>
          <w:ilvl w:val="0"/>
          <w:numId w:val="1003"/>
        </w:numPr>
      </w:pPr>
      <w:r>
        <w:t xml:space="preserve">Verschaffelt, P., Collier, J., Botzki, A., Martens, L., Dawyndt, P. and Mesuere, B., 2022. Unipept Visualizations: an interactive visualization library for biological data.</w:t>
      </w:r>
      <w:r>
        <w:t xml:space="preserve"> </w:t>
      </w:r>
      <w:r>
        <w:rPr>
          <w:iCs/>
          <w:i/>
        </w:rPr>
        <w:t xml:space="preserve">Bioinformatics</w:t>
      </w:r>
      <w:r>
        <w:t xml:space="preserve">,</w:t>
      </w:r>
      <w:r>
        <w:t xml:space="preserve"> </w:t>
      </w:r>
      <w:r>
        <w:rPr>
          <w:iCs/>
          <w:i/>
        </w:rPr>
        <w:t xml:space="preserve">38</w:t>
      </w:r>
      <w:r>
        <w:t xml:space="preserve">(2), pp.562-563.</w:t>
      </w:r>
    </w:p>
    <w:p>
      <w:pPr>
        <w:numPr>
          <w:ilvl w:val="0"/>
          <w:numId w:val="1003"/>
        </w:numPr>
      </w:pPr>
      <w:r>
        <w:t xml:space="preserve">Kerren, A., Kucher, K., Li, Y.F. and Schreiber, F., 2017. BioVis Explorer: A visual guide for biological data visualization techniques.</w:t>
      </w:r>
      <w:r>
        <w:t xml:space="preserve"> </w:t>
      </w:r>
      <w:r>
        <w:rPr>
          <w:iCs/>
          <w:i/>
        </w:rPr>
        <w:t xml:space="preserve">PLoS One</w:t>
      </w:r>
      <w:r>
        <w:t xml:space="preserve">,</w:t>
      </w:r>
      <w:r>
        <w:t xml:space="preserve"> </w:t>
      </w:r>
      <w:r>
        <w:rPr>
          <w:iCs/>
          <w:i/>
        </w:rPr>
        <w:t xml:space="preserve">12</w:t>
      </w:r>
      <w:r>
        <w:t xml:space="preserve">(11), p.e0187341.</w:t>
      </w:r>
    </w:p>
    <w:p>
      <w:pPr>
        <w:numPr>
          <w:ilvl w:val="0"/>
          <w:numId w:val="1003"/>
        </w:numPr>
      </w:pPr>
      <w:r>
        <w:t xml:space="preserve">White, S., Quinn, J., Enzor, J., Staats, J., Mosier, S.M., Almarode, J., Denny, T.N., Weinhold, K.J., Ferrari, G. and Chan, C., 2021. FlowKit: a python toolkit for integrated manual and automated cytometry analysis workflows.</w:t>
      </w:r>
      <w:r>
        <w:t xml:space="preserve"> </w:t>
      </w:r>
      <w:r>
        <w:rPr>
          <w:iCs/>
          <w:i/>
        </w:rPr>
        <w:t xml:space="preserve">Frontiers in immunology</w:t>
      </w:r>
      <w:r>
        <w:t xml:space="preserve">,</w:t>
      </w:r>
      <w:r>
        <w:t xml:space="preserve"> </w:t>
      </w:r>
      <w:r>
        <w:rPr>
          <w:iCs/>
          <w:i/>
        </w:rPr>
        <w:t xml:space="preserve">12</w:t>
      </w:r>
      <w:r>
        <w:t xml:space="preserve">, p.768541.</w:t>
      </w:r>
    </w:p>
    <w:bookmarkEnd w:id="73"/>
    <w:bookmarkStart w:id="103" w:name="X03a375a003a4a536321b4aeec36ab16d1fba76d"/>
    <w:p>
      <w:pPr>
        <w:pStyle w:val="Heading1"/>
      </w:pPr>
      <w:r>
        <w:t xml:space="preserve">4. Data Collection for AI-based Protein Engineering</w:t>
      </w:r>
    </w:p>
    <w:bookmarkStart w:id="74" w:name="introduction-2"/>
    <w:p>
      <w:pPr>
        <w:pStyle w:val="Heading2"/>
      </w:pPr>
      <w:r>
        <w:t xml:space="preserve">4.1 Introduction</w:t>
      </w:r>
    </w:p>
    <w:p>
      <w:pPr>
        <w:numPr>
          <w:ilvl w:val="0"/>
          <w:numId w:val="1004"/>
        </w:numPr>
      </w:pPr>
      <w:r>
        <w:t xml:space="preserve">Problems with Protein Engineering</w:t>
      </w:r>
    </w:p>
    <w:p>
      <w:pPr>
        <w:numPr>
          <w:ilvl w:val="0"/>
          <w:numId w:val="1004"/>
        </w:numPr>
      </w:pPr>
      <w:r>
        <w:t xml:space="preserve">AI solutions</w:t>
      </w:r>
    </w:p>
    <w:p>
      <w:pPr>
        <w:numPr>
          <w:ilvl w:val="0"/>
          <w:numId w:val="1004"/>
        </w:numPr>
      </w:pPr>
      <w:r>
        <w:t xml:space="preserve">Problems with AI based Engineering</w:t>
      </w:r>
    </w:p>
    <w:p>
      <w:pPr>
        <w:pStyle w:val="FirstParagraph"/>
      </w:pPr>
      <w:r>
        <w:t xml:space="preserve">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pPr>
        <w:pStyle w:val="BodyText"/>
      </w:pPr>
      <w:r>
        <w:t xml:space="preserve">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Pr>
          <w:vertAlign w:val="superscript"/>
        </w:rPr>
        <w:t xml:space="preserve">1</w:t>
      </w:r>
      <w:r>
        <w:t xml:space="preserve">. Obtaining such datasets depends upon experimental methods that often take too long to amass large amounts of reliable data, resulting in a compromise on quality or quantity</w:t>
      </w:r>
      <w:r>
        <w:rPr>
          <w:vertAlign w:val="superscript"/>
        </w:rPr>
        <w:t xml:space="preserve">2</w:t>
      </w:r>
      <w:r>
        <w:t xml:space="preserve">. Without simultaneously accelerating the collection of data, the use of AI for protein engineering may be stuck in a local minimum, constrained by unexplored areas in the protein landscape</w:t>
      </w:r>
      <w:r>
        <w:rPr>
          <w:vertAlign w:val="superscript"/>
        </w:rPr>
        <w:t xml:space="preserve">3</w:t>
      </w:r>
      <w:r>
        <w:t xml:space="preserve">.</w:t>
      </w:r>
    </w:p>
    <w:p>
      <w:pPr>
        <w:pStyle w:val="BodyText"/>
      </w:pPr>
      <w:r>
        <w:t xml:space="preserve">Here, we detail a method to generate large labelled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pPr>
        <w:pStyle w:val="BodyText"/>
      </w:pPr>
      <w:r>
        <w:t xml:space="preserve">Genetically encoded biosensors can detect internal stimuli into proportional detectable signal</w:t>
      </w:r>
      <w:r>
        <w:rPr>
          <w:vertAlign w:val="superscript"/>
        </w:rPr>
        <w:t xml:space="preserve">4,5</w:t>
      </w:r>
      <w:r>
        <w:t xml:space="preserve">. Numerous strategies involving biosensors and a fluorescence reporter have maximized the use of high-throughput techniques such as fluorescence-activated cell sorting (FACS) to screen through active and inactive variants of proteins easily</w:t>
      </w:r>
      <w:r>
        <w:rPr>
          <w:vertAlign w:val="superscript"/>
        </w:rPr>
        <w:t xml:space="preserve">6,7,8,9</w:t>
      </w:r>
      <w:r>
        <w:t xml:space="preserve">.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w:t>
      </w:r>
      <w:r>
        <w:t xml:space="preserve"> </w:t>
      </w:r>
      <w:r>
        <w:t xml:space="preserve">“</w:t>
      </w:r>
      <w:r>
        <w:t xml:space="preserve">positive</w:t>
      </w:r>
      <w:r>
        <w:t xml:space="preserve">”</w:t>
      </w:r>
      <w:r>
        <w:t xml:space="preserve"> </w:t>
      </w:r>
      <w:r>
        <w:t xml:space="preserve">and</w:t>
      </w:r>
      <w:r>
        <w:t xml:space="preserve"> </w:t>
      </w:r>
      <w:r>
        <w:t xml:space="preserve">“</w:t>
      </w:r>
      <w:r>
        <w:t xml:space="preserve">negative</w:t>
      </w:r>
      <w:r>
        <w:t xml:space="preserve">”</w:t>
      </w:r>
      <w:r>
        <w:t xml:space="preserve"> </w:t>
      </w:r>
      <w:r>
        <w:t xml:space="preserve">data</w:t>
      </w:r>
      <w:r>
        <w:rPr>
          <w:vertAlign w:val="superscript"/>
        </w:rPr>
        <w:t xml:space="preserve">10,11</w:t>
      </w:r>
      <w:r>
        <w:t xml:space="preserve"> 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pPr>
        <w:pStyle w:val="BodyText"/>
      </w:pPr>
      <w: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w:t>
      </w:r>
      <w:r>
        <w:rPr>
          <w:vertAlign w:val="superscript"/>
        </w:rPr>
        <w:t xml:space="preserve">4</w:t>
      </w:r>
      <w:r>
        <w:t xml:space="preserve">-10</w:t>
      </w:r>
      <w:r>
        <w:rPr>
          <w:vertAlign w:val="superscript"/>
        </w:rPr>
        <w:t xml:space="preserve">5</w:t>
      </w:r>
      <w:r>
        <w:t xml:space="preserve"> labeled reads that can now be used to train an AI model.</w:t>
      </w:r>
    </w:p>
    <w:p>
      <w:pPr>
        <w:pStyle w:val="BodyText"/>
      </w:pPr>
      <w:r>
        <w:t xml:space="preserve">The trained AI models narrow the search space by predicting the phenotypes of mutants in an</w:t>
      </w:r>
      <w:r>
        <w:t xml:space="preserve"> </w:t>
      </w:r>
      <w:r>
        <w:rPr>
          <w:iCs/>
          <w:i/>
        </w:rPr>
        <w:t xml:space="preserve">in-silico</w:t>
      </w:r>
      <w:r>
        <w:t xml:space="preserve"> </w:t>
      </w:r>
      <w:r>
        <w:t xml:space="preserve">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p>
      <w:pPr>
        <w:pStyle w:val="BodyText"/>
      </w:pPr>
      <w:r>
        <w:t xml:space="preserve">As a proof of concept, we employed this method to engineer a transcription factor (TF), DmpR, and an enzyme, methyl parathion hydrolase (MPH). Currently, there is limited understanding of the mechanism of both protein functionalities, and each type of protein requires additional considerations that are detailed ahead.</w:t>
      </w:r>
    </w:p>
    <w:bookmarkEnd w:id="74"/>
    <w:bookmarkStart w:id="89" w:name="results"/>
    <w:p>
      <w:pPr>
        <w:pStyle w:val="Heading2"/>
      </w:pPr>
      <w:r>
        <w:t xml:space="preserve">4.2 Results</w:t>
      </w:r>
    </w:p>
    <w:bookmarkStart w:id="78" w:name="engineering-dmpr-for-improved-signal"/>
    <w:p>
      <w:pPr>
        <w:pStyle w:val="Heading3"/>
      </w:pPr>
      <w:r>
        <w:t xml:space="preserve">4.2.1 Engineering DmpR for Improved Signal</w:t>
      </w:r>
    </w:p>
    <w:p>
      <w:pPr>
        <w:pStyle w:val="FirstParagraph"/>
      </w:pPr>
      <w:r>
        <w:t xml:space="preserve">DmpR is an NtrC-like regulatory protein that is activated in the presence of phenol</w:t>
      </w:r>
      <w:r>
        <w:rPr>
          <w:vertAlign w:val="superscript"/>
        </w:rPr>
        <w:t xml:space="preserve">12</w:t>
      </w:r>
      <w:r>
        <w:t xml:space="preserve">. A biosensor constructed using DmpR has been shown to detect phenol and various phenolic compounds</w:t>
      </w:r>
      <w:r>
        <w:rPr>
          <w:vertAlign w:val="superscript"/>
        </w:rPr>
        <w:t xml:space="preserve">13,14</w:t>
      </w:r>
      <w:r>
        <w:t xml:space="preserve">(Figure 1A). Here, we engineer DmpR to have higher activity in 10μM phenol. The diverse DmpR mutant library is sorted into two populations, low and high, depending upon their fluorescence in the presence of phenol. These populations undergo two rounds of sorting till the resulting populations diverge without much overlap in their fluorescent response to phenol (Figure 1B). The resulting populations are sequenced and processed to compose a labelled dataset of advantageous and disadvantageous mutants of DmpR. The high and low signal populations show variation across different DmpR amino acids (Figure 1C). A simple binary classification convolutional neural networks (CNN) model is trained and optimized on the dataset to have a final accuracy of 89%. The model was then used to predict the likelihood of a mutant from a single mutation</w:t>
      </w:r>
      <w:r>
        <w:t xml:space="preserve"> </w:t>
      </w:r>
      <w:r>
        <w:rPr>
          <w:iCs/>
          <w:i/>
        </w:rPr>
        <w:t xml:space="preserve">in-silico</w:t>
      </w:r>
      <w:r>
        <w:t xml:space="preserve"> </w:t>
      </w:r>
      <w:r>
        <w:t xml:space="preserve">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(Figure 1D and E). Previously reported variants of DmpR, such as E135K</w:t>
      </w:r>
      <w:r>
        <w:rPr>
          <w:vertAlign w:val="superscript"/>
        </w:rPr>
        <w:t xml:space="preserve">15</w:t>
      </w:r>
      <w:r>
        <w:t xml:space="preserve"> were also predicted to have the correct phenotype.</w:t>
      </w:r>
    </w:p>
    <w:p>
      <w:pPr>
        <w:pStyle w:val="BodyText"/>
      </w:pPr>
      <w:r>
        <w:t xml:space="preserve">Contrarily, it was observed that high-fluorescence sorted populations with phenol (Signal) also had high fluorescence without it (Background). Additionally, the original high-activity population exhibited similarly high background, suggesting that that the majority of</w:t>
      </w:r>
      <w:r>
        <w:t xml:space="preserve"> </w:t>
      </w:r>
      <w:r>
        <w:t xml:space="preserve">“</w:t>
      </w:r>
      <w:r>
        <w:t xml:space="preserve">high</w:t>
      </w:r>
      <w:r>
        <w:t xml:space="preserve">”</w:t>
      </w:r>
      <w:r>
        <w:t xml:space="preserve"> </w:t>
      </w:r>
      <w:r>
        <w:t xml:space="preserve">variants are always in an active state, binding to sfGFP’s promoter regardless if the substratee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Pr>
          <w:vertAlign w:val="superscript"/>
        </w:rPr>
        <w:t xml:space="preserve">1</w:t>
      </w:r>
      <w:r>
        <w:t xml:space="preserve"> </w:t>
      </w:r>
      <w:r>
        <w:t xml:space="preserve">engineering problem. This is challenging when datasets come from multiple sources which can introduce numerous inconsistencies due to varying biases of different experimental methods.</w:t>
      </w:r>
    </w:p>
    <w:p>
      <w:pPr>
        <w:pStyle w:val="CaptionedFigure"/>
      </w:pPr>
      <w:r>
        <w:drawing>
          <wp:inline>
            <wp:extent cx="5334000" cy="5910966"/>
            <wp:effectExtent b="0" l="0" r="0" t="0"/>
            <wp:docPr descr="Figure 1 Engineering DmpR for improved response to Phenol. A Genetic circuit for DmpR biosensor. The relative fluorescence expression (Y-axis) graph of multiple concentrations of phenol over time (X-axis). B FACS sorting of mutant library into low and high populations over after two rounds. C Nanopore long-read sequencing and mutant variation of high signal (HS) and low signal (LS) populations across DmpR protein sequence. DmpR domains are described in Park, KH. Et al. 2020. Lighter colours have higher variation. D Confusion matrix of predictions of validation set by trained signal model. E FACS analysis of predicted mutants. Light green sample is WT, yellow samples are predicted to have low signal, dark green samples are predicted to have high signal. Samples marked with red are incorrectly predicted samples. F FACS analysis of mutant library and sorted populations with and without (grey) phenol." title="" id="76" name="Picture"/>
            <a:graphic>
              <a:graphicData uri="http://schemas.openxmlformats.org/drawingml/2006/picture">
                <pic:pic>
                  <pic:nvPicPr>
                    <pic:cNvPr descr="chapters/images/paste-2.png" id="77" name="Picture"/>
                    <pic:cNvPicPr>
                      <a:picLocks noChangeArrowheads="1" noChangeAspect="1"/>
                    </pic:cNvPicPr>
                  </pic:nvPicPr>
                  <pic:blipFill>
                    <a:blip r:embed="rId75"/>
                    <a:stretch>
                      <a:fillRect/>
                    </a:stretch>
                  </pic:blipFill>
                  <pic:spPr bwMode="auto">
                    <a:xfrm>
                      <a:off x="0" y="0"/>
                      <a:ext cx="5334000" cy="5910966"/>
                    </a:xfrm>
                    <a:prstGeom prst="rect">
                      <a:avLst/>
                    </a:prstGeom>
                    <a:noFill/>
                    <a:ln w="9525">
                      <a:noFill/>
                      <a:headEnd/>
                      <a:tailEnd/>
                    </a:ln>
                  </pic:spPr>
                </pic:pic>
              </a:graphicData>
            </a:graphic>
          </wp:inline>
        </w:drawing>
      </w:r>
    </w:p>
    <w:p>
      <w:pPr>
        <w:pStyle w:val="ImageCaption"/>
      </w:pPr>
      <w:r>
        <w:t xml:space="preserve">Figure 1 Engineering DmpR for improved response to Phenol. A Genetic circuit for DmpR biosensor. The relative fluorescence expression (Y-axis) graph of multiple concentrations of phenol over time (X-axis). B FACS sorting of mutant library into low and high populations over after two rounds. C Nanopore long-read sequencing and mutant variation of high signal (HS) and low signal (LS) populations across DmpR protein sequence. DmpR domains are described in Park, KH. Et al. 2020. Lighter colours have higher variation. D Confusion matrix of predictions of validation set by trained signal model. E FACS analysis of predicted mutants. Light green sample is WT, yellow samples are predicted to have low signal, dark green samples are predicted to have high signal. Samples marked with red are incorrectly predicted samples. F FACS analysis of mutant library and sorted populations with and without (grey) phenol.</w:t>
      </w:r>
    </w:p>
    <w:bookmarkEnd w:id="78"/>
    <w:bookmarkStart w:id="82" w:name="engineering-dmpr-for-reduced-background"/>
    <w:p>
      <w:pPr>
        <w:pStyle w:val="Heading3"/>
      </w:pPr>
      <w:r>
        <w:t xml:space="preserve">4.2.2 Engineering DmpR for reduced Background</w:t>
      </w:r>
    </w:p>
    <w:p>
      <w:pPr>
        <w:pStyle w:val="FirstParagraph"/>
      </w:pPr>
      <w:r>
        <w:t xml:space="preserve">To overcome this challenge, we employed HiAPE with the same mutant library in the absence of phenol, considering background as a second phenotype (Figure 2).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(Figure 2B). Nonetheless, it is expected that sustained sorting will significantly reduce mutant diversity, thereby compromising the overall quality of the dataset. The final optimized trained CNN model of background had an accuracy of 80%.</w:t>
      </w:r>
    </w:p>
    <w:p>
      <w:pPr>
        <w:pStyle w:val="CaptionedFigure"/>
      </w:pPr>
      <w:r>
        <w:drawing>
          <wp:inline>
            <wp:extent cx="5334000" cy="4832512"/>
            <wp:effectExtent b="0" l="0" r="0" t="0"/>
            <wp:docPr descr="Figure 2 Engineering DmpR for low response in the absence of Phenol. A FACS sorting of mutant library into low and high populations over after two rounds. B Nanopore long-read sequencing and mutant variation of high background (HB) and low background (LB), and HS and LS populations across DmpR protein sequence. DmpR domains are described in Park, KH. Et al. 2020. Lighter colours have higher variation. D Confusion matrix of predictions of validation set by trained background model." title="" id="80" name="Picture"/>
            <a:graphic>
              <a:graphicData uri="http://schemas.openxmlformats.org/drawingml/2006/picture">
                <pic:pic>
                  <pic:nvPicPr>
                    <pic:cNvPr descr="chapters/images/paste-3.png" id="81" name="Picture"/>
                    <pic:cNvPicPr>
                      <a:picLocks noChangeArrowheads="1" noChangeAspect="1"/>
                    </pic:cNvPicPr>
                  </pic:nvPicPr>
                  <pic:blipFill>
                    <a:blip r:embed="rId79"/>
                    <a:stretch>
                      <a:fillRect/>
                    </a:stretch>
                  </pic:blipFill>
                  <pic:spPr bwMode="auto">
                    <a:xfrm>
                      <a:off x="0" y="0"/>
                      <a:ext cx="5334000" cy="4832512"/>
                    </a:xfrm>
                    <a:prstGeom prst="rect">
                      <a:avLst/>
                    </a:prstGeom>
                    <a:noFill/>
                    <a:ln w="9525">
                      <a:noFill/>
                      <a:headEnd/>
                      <a:tailEnd/>
                    </a:ln>
                  </pic:spPr>
                </pic:pic>
              </a:graphicData>
            </a:graphic>
          </wp:inline>
        </w:drawing>
      </w:r>
    </w:p>
    <w:p>
      <w:pPr>
        <w:pStyle w:val="ImageCaption"/>
      </w:pPr>
      <w:r>
        <w:t xml:space="preserve">Figure 2 Engineering DmpR for low response in the absence of Phenol. A FACS sorting of mutant library into low and high populations over after two rounds. B Nanopore long-read sequencing and mutant variation of high background (HB) and low background (LB), and HS and LS populations across DmpR protein sequence. DmpR domains are described in Park, KH. Et al. 2020. Lighter colours have higher variation. D Confusion matrix of predictions of validation set by trained background model.</w:t>
      </w:r>
    </w:p>
    <w:bookmarkEnd w:id="82"/>
    <w:bookmarkStart w:id="87" w:name="engineering-dmpr-for-multiple-phenotypes"/>
    <w:p>
      <w:pPr>
        <w:pStyle w:val="Heading3"/>
      </w:pPr>
      <w:r>
        <w:t xml:space="preserve">4.2.3 Engineering DmpR for Multiple Phenotypes</w:t>
      </w:r>
    </w:p>
    <w:p>
      <w:pPr>
        <w:pStyle w:val="FirstParagraph"/>
      </w:pPr>
      <w:r>
        <w:drawing>
          <wp:inline>
            <wp:extent cx="3990975" cy="2560014"/>
            <wp:effectExtent b="0" l="0" r="0" t="0"/>
            <wp:docPr descr="" title="" id="84" name="Picture"/>
            <a:graphic>
              <a:graphicData uri="http://schemas.openxmlformats.org/drawingml/2006/picture">
                <pic:pic>
                  <pic:nvPicPr>
                    <pic:cNvPr descr="chapters/images/paste-4.png" id="85" name="Picture"/>
                    <pic:cNvPicPr>
                      <a:picLocks noChangeArrowheads="1" noChangeAspect="1"/>
                    </pic:cNvPicPr>
                  </pic:nvPicPr>
                  <pic:blipFill>
                    <a:blip r:embed="rId83"/>
                    <a:stretch>
                      <a:fillRect/>
                    </a:stretch>
                  </pic:blipFill>
                  <pic:spPr bwMode="auto">
                    <a:xfrm>
                      <a:off x="0" y="0"/>
                      <a:ext cx="3990975" cy="2560014"/>
                    </a:xfrm>
                    <a:prstGeom prst="rect">
                      <a:avLst/>
                    </a:prstGeom>
                    <a:noFill/>
                    <a:ln w="9525">
                      <a:noFill/>
                      <a:headEnd/>
                      <a:tailEnd/>
                    </a:ln>
                  </pic:spPr>
                </pic:pic>
              </a:graphicData>
            </a:graphic>
          </wp:inline>
        </w:drawing>
      </w:r>
    </w:p>
    <w:p>
      <w:pPr>
        <w:pStyle w:val="BodyText"/>
      </w:pPr>
      <w:r>
        <w:t xml:space="preserve">As both Signal and Background datasets stem from the same mutant library obtained with a standardized method, the models can be used in tandem to identify an ideal DmpR candidate. A binary relevance multi-label classification is obtained using a combination of the outputs from the the signal and background models on a single mutation</w:t>
      </w:r>
      <w:r>
        <w:t xml:space="preserve"> </w:t>
      </w:r>
      <w:r>
        <w:rPr>
          <w:iCs/>
          <w:i/>
        </w:rPr>
        <w:t xml:space="preserve">in-silico</w:t>
      </w:r>
      <w:r>
        <w:t xml:space="preserve"> </w:t>
      </w:r>
      <w:r>
        <w:t xml:space="preserve">library (Figure 3A). Predicted candidates were first sorted based on low background and then for high signal.</w:t>
      </w:r>
    </w:p>
    <w:bookmarkStart w:id="86" w:name="Xfcfa90f048d450bf57e66a9dca314730f1b90c0"/>
    <w:p>
      <w:pPr>
        <w:pStyle w:val="Heading4"/>
      </w:pPr>
      <w:r>
        <w:t xml:space="preserve">4.2.3.1 Alternative Strategies for Predicting Multiple Phenotypes</w:t>
      </w:r>
    </w:p>
    <w:bookmarkEnd w:id="86"/>
    <w:bookmarkEnd w:id="87"/>
    <w:bookmarkStart w:id="88" w:name="engineering-mph-for-improved-activity"/>
    <w:p>
      <w:pPr>
        <w:pStyle w:val="Heading3"/>
      </w:pPr>
      <w:r>
        <w:t xml:space="preserve">4.2.4 Engineering MPH for improved Activity</w:t>
      </w:r>
    </w:p>
    <w:p>
      <w:pPr>
        <w:pStyle w:val="FirstParagraph"/>
      </w:pPr>
      <w:r>
        <w:t xml:space="preserve">To test for a wider application, we attempt to engineer an enzyme using HiAIPE. In a recent study, an MPH-based Genetic Enzyme Screening System (GESS)</w:t>
      </w:r>
      <w:r>
        <w:rPr>
          <w:vertAlign w:val="superscript"/>
        </w:rPr>
        <w:t xml:space="preserve">9</w:t>
      </w:r>
      <w:r>
        <w:t xml:space="preserve"> </w:t>
      </w:r>
      <w:r>
        <w:t xml:space="preserve">biosensor was constructed to break down toxic pesticides such as fenitrothion, chlorpyrifos, and ethyl p-nitrophenyl phenylphosphate (EPN)</w:t>
      </w:r>
      <w:r>
        <w:rPr>
          <w:vertAlign w:val="superscript"/>
        </w:rPr>
        <w:t xml:space="preserve">16</w:t>
      </w:r>
      <w:r>
        <w:t xml:space="preserve">. The nested genetic circuit is set up such that the substrate, here EPN is broken down by MPH, and the consequent product, para-Nitrophenol (pNP) binds to DmpR</w:t>
      </w:r>
      <w:r>
        <w:rPr>
          <w:vertAlign w:val="subscript"/>
        </w:rPr>
        <w:t xml:space="preserve">CK</w:t>
      </w:r>
      <w:r>
        <w:t xml:space="preserve"> </w:t>
      </w:r>
      <w:r>
        <w:t xml:space="preserve">and causes the expression of sfGFP (Figure 2G). However, as MPH is a membrane protein, activity from a highly active protein can directly influence the fluorescence of neighbouring cells providing a dataset that has large number of false positives. To localize the effect of pNP, solid-phase screening was employed. Here, MPH was engineered to degrade 10</w:t>
      </w:r>
      <m:oMath>
        <m:r>
          <m:t>μ</m:t>
        </m:r>
      </m:oMath>
      <w:r>
        <w:t xml:space="preserve">M of EPN. Owing to the presence of intermediates, the absence of substrates does not affect background fluorescence and should be as much as DmpR</w:t>
      </w:r>
      <w:r>
        <w:rPr>
          <w:vertAlign w:val="subscript"/>
        </w:rPr>
        <w:t xml:space="preserve">CK</w:t>
      </w:r>
      <w:r>
        <w:t xml:space="preserve">. However, some mutations in DmpR</w:t>
      </w:r>
      <w:r>
        <w:rPr>
          <w:vertAlign w:val="subscript"/>
        </w:rPr>
        <w:t xml:space="preserve">CK</w:t>
      </w:r>
      <w:r>
        <w:t xml:space="preserve">, possibly originating during vector backbone amplification or occurring</w:t>
      </w:r>
      <w:r>
        <w:t xml:space="preserve"> </w:t>
      </w:r>
      <w:r>
        <w:rPr>
          <w:iCs/>
          <w:i/>
        </w:rPr>
        <w:t xml:space="preserve">de novo</w:t>
      </w:r>
      <w:r>
        <w:t xml:space="preserve">, were enriched along with improved MPH variants. These plasmid sequences were filtered out after sequencing to reduce false positives and negatives (Supplementary Figures 5, 7). Similar to DmpR engineering, a simple binary classification CNN model was trained and used to predict the activity of a mutant in an MPH</w:t>
      </w:r>
      <w:r>
        <w:t xml:space="preserve"> </w:t>
      </w:r>
      <w:r>
        <w:rPr>
          <w:iCs/>
          <w:i/>
        </w:rPr>
        <w:t xml:space="preserve">in-silico</w:t>
      </w:r>
      <w:r>
        <w:t xml:space="preserve"> </w:t>
      </w:r>
      <w:r>
        <w:t xml:space="preserve">library (n = 100,000).</w:t>
      </w:r>
    </w:p>
    <w:bookmarkEnd w:id="88"/>
    <w:bookmarkEnd w:id="89"/>
    <w:bookmarkStart w:id="90" w:name="future-considerations"/>
    <w:p>
      <w:pPr>
        <w:pStyle w:val="Heading2"/>
      </w:pPr>
      <w:r>
        <w:t xml:space="preserve">4.3 Future Considerations</w:t>
      </w:r>
    </w:p>
    <w:p>
      <w:pPr>
        <w:pStyle w:val="FirstParagraph"/>
      </w:pPr>
      <w:r>
        <w:t xml:space="preserve">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Pr>
          <w:vertAlign w:val="superscript"/>
        </w:rPr>
        <w:t xml:space="preserve">16</w:t>
      </w:r>
      <w:r>
        <w:t xml:space="preserve"> </w:t>
      </w:r>
      <w:r>
        <w:t xml:space="preserve">probes attached to the substrate and observing the change in fluorescence to determine the enzyme activity can substitute the use of a biosensor.</w:t>
      </w:r>
      <w:r>
        <w:br/>
      </w:r>
      <w:r>
        <w:t xml:space="preserve">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pPr>
        <w:pStyle w:val="BodyText"/>
      </w:pPr>
      <w: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language models to predict novel protein sequences for a targeted function. Through advanced data collection techniques, we can construct personalized models for different proteins which can be supplemented by autonomous robotic laboratories</w:t>
      </w:r>
      <w:r>
        <w:rPr>
          <w:vertAlign w:val="superscript"/>
        </w:rPr>
        <w:t xml:space="preserve">17</w:t>
      </w:r>
      <w:r>
        <w:t xml:space="preserve"> </w:t>
      </w:r>
      <w:r>
        <w:t xml:space="preserve">to facilitate rapid and efficient protein engineering.</w:t>
      </w:r>
    </w:p>
    <w:bookmarkEnd w:id="90"/>
    <w:bookmarkStart w:id="102" w:name="methods-1"/>
    <w:p>
      <w:pPr>
        <w:pStyle w:val="Heading2"/>
      </w:pPr>
      <w:r>
        <w:t xml:space="preserve">4.4 Methods</w:t>
      </w:r>
    </w:p>
    <w:bookmarkStart w:id="91" w:name="materials-bacterial-strains-and-plasmids"/>
    <w:p>
      <w:pPr>
        <w:pStyle w:val="Heading3"/>
      </w:pPr>
      <w:r>
        <w:t xml:space="preserve">4.4.1 Materials, Bacterial Strains and Plasmids</w:t>
      </w:r>
    </w:p>
    <w:p>
      <w:pPr>
        <w:pStyle w:val="FirstParagraph"/>
      </w:pPr>
      <w:r>
        <w:t xml:space="preserve">All chemicals were purchased from Sigma-Aldrich (Saint Louis, MO). All enzymes were purchases from New England Biolabs, NEB (Ipswich, MA). Nanopore kits and flow cells were purchased from Oxford Nanopore Technology (UK). All enzymatic reactions were performed using the Biometra TRobot II automated PCR cycler (Analytik Jena, Germany).</w:t>
      </w:r>
    </w:p>
    <w:p>
      <w:pPr>
        <w:pStyle w:val="BodyText"/>
      </w:pPr>
      <w:r>
        <w:t xml:space="preserve">All bacterial transformations and fluorescence assays were performed in</w:t>
      </w:r>
      <w:r>
        <w:t xml:space="preserve"> </w:t>
      </w:r>
      <w:r>
        <w:rPr>
          <w:iCs/>
          <w:i/>
        </w:rPr>
        <w:t xml:space="preserve">E. coli</w:t>
      </w:r>
      <w:r>
        <w:t xml:space="preserve"> </w:t>
      </w:r>
      <w:r>
        <w:t xml:space="preserve">strain DH5</w:t>
      </w:r>
      <m:oMath>
        <m:r>
          <m:t>α</m:t>
        </m:r>
      </m:oMath>
      <w:r>
        <w:t xml:space="preserve">. Initial genetic circuits were constructed using Golden Gate with BsmBI and BsaI ends. All constructs were constructed on the pACBB (Addgene MA, USA) vector along with a p15A origin of replication and chloramphenicol resistance. Gibson Assembly from NEB (#E2611) was used to construct plasmids for the mutant library and T4 Ligase for site-directed mutagenesis.</w:t>
      </w:r>
    </w:p>
    <w:bookmarkEnd w:id="91"/>
    <w:bookmarkStart w:id="92" w:name="design-genetic-circuit"/>
    <w:p>
      <w:pPr>
        <w:pStyle w:val="Heading3"/>
      </w:pPr>
      <w:r>
        <w:t xml:space="preserve">4.4.2 Design: Genetic Circuit</w:t>
      </w:r>
    </w:p>
    <w:p>
      <w:pPr>
        <w:pStyle w:val="FirstParagraph"/>
      </w:pPr>
      <w:r>
        <w:t xml:space="preserve">The DmpR construct was a double module adaptation of the GESS system described by SL Choi</w:t>
      </w:r>
      <w:r>
        <w:rPr>
          <w:vertAlign w:val="superscript"/>
        </w:rPr>
        <w:t xml:space="preserve">9</w:t>
      </w:r>
      <w:r>
        <w:t xml:space="preserve"> </w:t>
      </w:r>
      <w:r>
        <w:t xml:space="preserve">into a single plasmid, and the MPH construct was a modified high activity circuit (PH) to detect pesticides performed in a previous study (WJS, 2024). A B0032 ribosome binding site along with constitutive promoters J231109 and J231103 were used for expressing DmpR in the DmpR and MPH circuits respectively. Po, a DmpR-inducible promoter was used to express sfGFP for both constructs. The L2U3H03 terminator was used for DmpR</w:t>
      </w:r>
      <w:r>
        <w:rPr>
          <w:vertAlign w:val="subscript"/>
        </w:rPr>
        <w:t xml:space="preserve">WT</w:t>
      </w:r>
      <w:r>
        <w:t xml:space="preserve"> </w:t>
      </w:r>
      <w:r>
        <w:t xml:space="preserve">and sfGfP in the DmpR construct. The same was used for MPH and sfGFP, and L2U5H11 terminator was used for DmpR</w:t>
      </w:r>
      <w:r>
        <w:rPr>
          <w:vertAlign w:val="subscript"/>
        </w:rPr>
        <w:t xml:space="preserve">CK</w:t>
      </w:r>
      <w:r>
        <w:t xml:space="preserve"> </w:t>
      </w:r>
      <w:r>
        <w:t xml:space="preserve">in the MPH circuit (ref ML). Additionally, a RiboJ insulator was used on sfGFP and MPH. A palindromic sequence present between DmpR</w:t>
      </w:r>
      <w:r>
        <w:rPr>
          <w:vertAlign w:val="subscript"/>
        </w:rPr>
        <w:t xml:space="preserve">CK</w:t>
      </w:r>
      <w:r>
        <w:t xml:space="preserve"> </w:t>
      </w:r>
      <w:r>
        <w:t xml:space="preserve">and sfGFP in the original MPH circuit was replaced with the spacer used in the DmpR circuit. This was done to avoid inconsistencies that may occur during vector backbone elongation resulting in different expression levels of sfGFP (Appendix Figure **#TODO**). The detailed sequences of the plasmids used are provided in the Appendix</w:t>
      </w:r>
      <w:r>
        <w:rPr>
          <w:bCs/>
          <w:b/>
        </w:rPr>
        <w:t xml:space="preserve">.</w:t>
      </w:r>
    </w:p>
    <w:bookmarkEnd w:id="92"/>
    <w:bookmarkStart w:id="93" w:name="build-mutant-library"/>
    <w:p>
      <w:pPr>
        <w:pStyle w:val="Heading3"/>
      </w:pPr>
      <w:r>
        <w:t xml:space="preserve">4.4.3 Build: Mutant Library</w:t>
      </w:r>
    </w:p>
    <w:p>
      <w:pPr>
        <w:pStyle w:val="FirstParagraph"/>
      </w:pPr>
      <w:r>
        <w:t xml:space="preserve">Random mutant library of both DmpR and MPH was generated using the Diversify PCR mutagenesis kit (Takara Bio, Japan) following the manufacturers instructions to generate between 1-4.8 substitutions. Both the vector backbone and mutant library inserts were gel extracted using the Wizard SV Gel and PCR Clean-Up System Kit (A9281; Promega, USA) , treated with 1 U of DpnI (R0176L; NEB) at 37</w:t>
      </w:r>
      <w:r>
        <w:rPr>
          <w:vertAlign w:val="superscript"/>
        </w:rPr>
        <w:t xml:space="preserve">o</w:t>
      </w:r>
      <w:r>
        <w:t xml:space="preserve">C for 1 hour to digest any wild-type plasmids, and cloned using Gibson assembly (#E2611, NEB). The library was transformed into chemically competent DH5</w:t>
      </w:r>
      <m:oMath>
        <m:r>
          <m:t>α</m:t>
        </m:r>
      </m:oMath>
      <w:r>
        <w:t xml:space="preserve"> </w:t>
      </w:r>
      <w:r>
        <w:t xml:space="preserve">cells and spread on a 24.5 x 24.5 x 2.8 cm</w:t>
      </w:r>
      <w:r>
        <w:rPr>
          <w:vertAlign w:val="superscript"/>
        </w:rPr>
        <w:t xml:space="preserve">3</w:t>
      </w:r>
      <w:r>
        <w:t xml:space="preserve"> </w:t>
      </w:r>
      <w:r>
        <w:t xml:space="preserve">Luria-Bertani (LB) plate with chloramphenicol to be incubated at 37</w:t>
      </w:r>
      <w:r>
        <w:rPr>
          <w:vertAlign w:val="superscript"/>
        </w:rPr>
        <w:t xml:space="preserve">o</w:t>
      </w:r>
      <w:r>
        <w:t xml:space="preserve">C. The following morning, libraries were harvested in LB and stored as stock at -80</w:t>
      </w:r>
      <w:r>
        <w:rPr>
          <w:vertAlign w:val="superscript"/>
        </w:rPr>
        <w:t xml:space="preserve">o</w:t>
      </w:r>
      <w:r>
        <w:t xml:space="preserve">C with 25% glycerol. Both libraries sizes were approximately 3 x 10</w:t>
      </w:r>
      <w:r>
        <w:rPr>
          <w:vertAlign w:val="superscript"/>
        </w:rPr>
        <w:t xml:space="preserve">4</w:t>
      </w:r>
      <w:r>
        <w:t xml:space="preserve"> </w:t>
      </w:r>
      <w:r>
        <w:t xml:space="preserve">unique clones.</w:t>
      </w:r>
    </w:p>
    <w:bookmarkEnd w:id="93"/>
    <w:bookmarkStart w:id="96" w:name="test"/>
    <w:p>
      <w:pPr>
        <w:pStyle w:val="Heading3"/>
      </w:pPr>
      <w:r>
        <w:t xml:space="preserve">4.4.4 Test</w:t>
      </w:r>
    </w:p>
    <w:bookmarkStart w:id="94" w:name="phenotyping-with-flow-cytometry"/>
    <w:p>
      <w:pPr>
        <w:pStyle w:val="Heading4"/>
      </w:pPr>
      <w:r>
        <w:t xml:space="preserve">4.4.4.1 Phenotyping with Flow Cytometry</w:t>
      </w:r>
    </w:p>
    <w:p>
      <w:pPr>
        <w:pStyle w:val="FirstParagraph"/>
      </w:pPr>
      <w:r>
        <w:t xml:space="preserve">Liquid-phase substrate induction was used for the DmpR and and solid-phase for MPH. For the liquid-phase induction, the stock mutant library was thawed and added to liquid LB media supplemented with 34</w:t>
      </w:r>
      <m:oMath>
        <m:r>
          <m:t>μ</m:t>
        </m:r>
      </m:oMath>
      <w:r>
        <w:t xml:space="preserve">g/mL chloramphenicol up to an OD of 0.4 and allowed to incubate at 37</w:t>
      </w:r>
      <w:r>
        <w:rPr>
          <w:vertAlign w:val="superscript"/>
        </w:rPr>
        <w:t xml:space="preserve">o</w:t>
      </w:r>
      <w:r>
        <w:t xml:space="preserve">C with (and without) 10</w:t>
      </w:r>
      <w:r>
        <w:t xml:space="preserve"> </w:t>
      </w:r>
      <m:oMath>
        <m:r>
          <m:t>μ</m:t>
        </m:r>
      </m:oMath>
      <w:r>
        <w:t xml:space="preserve">M phenol for 6-8 hrs in a shaker at 220rpm. The solid-phase induction was performed on LB agar plates with 34</w:t>
      </w:r>
      <m:oMath>
        <m:r>
          <m:t>μ</m:t>
        </m:r>
      </m:oMath>
      <w:r>
        <w:t xml:space="preserve">g/mL chloramphenicol, on which substrates EPN, dissolved in 500</w:t>
      </w:r>
      <m:oMath>
        <m:r>
          <m:t>μ</m:t>
        </m:r>
      </m:oMath>
      <w:r>
        <w:t xml:space="preserve">l DMSO were first spread on to obtain a final concentration of 10</w:t>
      </w:r>
      <w:r>
        <w:t xml:space="preserve"> </w:t>
      </w:r>
      <m:oMath>
        <m:r>
          <m:t>μ</m:t>
        </m:r>
      </m:oMath>
      <w:r>
        <w:t xml:space="preserve">M respectively; stock cells of up to 0.05 OD (~20,000 colonies) were spread on the substrate plate and allowed to grow in 37</w:t>
      </w:r>
      <w:r>
        <w:rPr>
          <w:vertAlign w:val="superscript"/>
        </w:rPr>
        <w:t xml:space="preserve">o</w:t>
      </w:r>
      <w:r>
        <w:t xml:space="preserve">C overnight (16 hours) after which it was harvested for further flow cytometry analysis.</w:t>
      </w:r>
    </w:p>
    <w:p>
      <w:pPr>
        <w:pStyle w:val="BodyText"/>
      </w:pPr>
      <w:r>
        <w:t xml:space="preserve">Each culture sample was added to PBS at a 1:100 ratio to be analyzed and sorted with FACSAriaIII (BD Biosciences, Franklin Lakes, NJ), running on the BD FACSDiva v7.0 software. Fluorescence from sfGFP was observed using a blue laser (488nm) and a BP filter (530/30 nm), and cells were sorted with a 70</w:t>
      </w:r>
      <w:r>
        <w:t xml:space="preserve"> </w:t>
      </w:r>
      <m:oMath>
        <m:r>
          <m:t>μ</m:t>
        </m:r>
      </m:oMath>
      <w:r>
        <w:t xml:space="preserve">m nozzle. Gates based on 1% of the high and ??% of the low population WT expression levels were used to sort 20,000 and 50,000 cells from the DmpR and MPH mutant library respectively. Sorted cells were plated on two 90mm LB agar plates supplemented with chloramphenicol for DmpR analysis, and on a 150mm LB plate with chloramphenicol and substrate for MPH analysis. Subsequent rounds (two for DmpR, three for MPH) were performed till the population graphs for low expression and high expression were distinct and had no overlaps</w:t>
      </w:r>
    </w:p>
    <w:p>
      <w:pPr>
        <w:pStyle w:val="BodyText"/>
      </w:pPr>
      <w:r>
        <w:t xml:space="preserve">All the samples were visualized on the FACS Visualizing tool described in Chapter 2</w:t>
      </w:r>
    </w:p>
    <w:bookmarkEnd w:id="94"/>
    <w:bookmarkStart w:id="95" w:name="genotyping-with-a-long-read-sequencer"/>
    <w:p>
      <w:pPr>
        <w:pStyle w:val="Heading4"/>
      </w:pPr>
      <w:r>
        <w:t xml:space="preserve">4.4.4.2 Genotyping with a Long-read Sequencer</w:t>
      </w:r>
    </w:p>
    <w:p>
      <w:pPr>
        <w:pStyle w:val="FirstParagraph"/>
      </w:pPr>
      <w:r>
        <w:t xml:space="preserve">Final round samples were grown from respective stock solutions up to 1 OD in 5ml LB solution at 37</w:t>
      </w:r>
      <w:r>
        <w:rPr>
          <w:vertAlign w:val="superscript"/>
        </w:rPr>
        <w:t xml:space="preserve">o</w:t>
      </w:r>
      <w:r>
        <w:t xml:space="preserve">C in a shaking incubator. Plasmids were extracted using the Wizard Plus SV Miniprep Kit (A1330, Promega, USA) to provide 1000-3000ng of DNA. As Nanopore sequencing works with linear DNA, these plasmids were linearized using a restriction enzyme and phosphate groups were removed using a phosphatase to prevent the sticky ends from ligating again. Here, we treated the plasmids with 1 U of EcoRI-HF (R3101S; NEB) and Alkaline Phosphatase (M0371S; NEB) for 2 hours at 37</w:t>
      </w:r>
      <w:r>
        <w:rPr>
          <w:vertAlign w:val="superscript"/>
        </w:rPr>
        <w:t xml:space="preserve">o</w:t>
      </w:r>
      <w:r>
        <w:t xml:space="preserve">C and inactivated at 85</w:t>
      </w:r>
      <w:r>
        <w:rPr>
          <w:vertAlign w:val="superscript"/>
        </w:rPr>
        <w:t xml:space="preserve">o</w:t>
      </w:r>
      <w:r>
        <w:t xml:space="preserve">C for 20 minutes on a thermocycler. A single EcoRI restriction site was present at a distance of 135bp and 175bp from DmpR</w:t>
      </w:r>
      <w:r>
        <w:rPr>
          <w:vertAlign w:val="subscript"/>
        </w:rPr>
        <w:t xml:space="preserve">WT</w:t>
      </w:r>
      <w:r>
        <w:t xml:space="preserve"> </w:t>
      </w:r>
      <w:r>
        <w:t xml:space="preserve">and MPH respectively, which allowed for accurate sequencing. The transposase-based Rapid Barcoding Kit (SQK-RBK114.24) by ONT that allows for a single random nick in plasmids can also be used to linearize the DNA, however, to have increased yield and control during data processing, the restriction enzyme protocol was implemented.</w:t>
      </w:r>
    </w:p>
    <w:p>
      <w:pPr>
        <w:pStyle w:val="BodyText"/>
      </w:pPr>
      <w:r>
        <w:t xml:space="preserve">Nanopore sample preparation was performed using the Native Barcoding Kit 24 V14 (SQK-NBD114.24). DNA loss was minimized by implementing the following modifications to the SQK-NBD114.24:</w:t>
      </w:r>
    </w:p>
    <w:p>
      <w:pPr>
        <w:numPr>
          <w:ilvl w:val="0"/>
          <w:numId w:val="1005"/>
        </w:numPr>
      </w:pPr>
      <w:r>
        <w:t xml:space="preserve">Initial volumes were 50</w:t>
      </w:r>
      <w:r>
        <w:t xml:space="preserve"> </w:t>
      </w:r>
      <m:oMath>
        <m:r>
          <m:t>μ</m:t>
        </m:r>
      </m:oMath>
      <w:r>
        <w:rPr>
          <w:iCs/>
          <w:i/>
        </w:rPr>
        <w:t xml:space="preserve">l</w:t>
      </w:r>
      <w:r>
        <w:t xml:space="preserve">, resulting in the volumes of the enzymes and AMPure XP beads used for the initial DNA-repair and End-prep step to be adjusted as well.</w:t>
      </w:r>
    </w:p>
    <w:p>
      <w:pPr>
        <w:numPr>
          <w:ilvl w:val="0"/>
          <w:numId w:val="1005"/>
        </w:numPr>
      </w:pPr>
      <w:r>
        <w:t xml:space="preserve">Due to loss of DNA during sample preparation, the initial amount of DNA used was ~2</w:t>
      </w:r>
      <w:r>
        <w:t xml:space="preserve"> </w:t>
      </w:r>
      <m:oMath>
        <m:r>
          <m:t>μ</m:t>
        </m:r>
      </m:oMath>
      <w:r>
        <w:t xml:space="preserve">g for each sample as opposed to 1</w:t>
      </w:r>
      <w:r>
        <w:t xml:space="preserve"> </w:t>
      </w:r>
      <m:oMath>
        <m:r>
          <m:t>μ</m:t>
        </m:r>
      </m:oMath>
      <w:r>
        <w:t xml:space="preserve">g.</w:t>
      </w:r>
    </w:p>
    <w:p>
      <w:pPr>
        <w:numPr>
          <w:ilvl w:val="0"/>
          <w:numId w:val="1005"/>
        </w:numPr>
      </w:pPr>
      <w:r>
        <w:t xml:space="preserve">Elution conditions for all steps were for 20 min at 37</w:t>
      </w:r>
      <w:r>
        <w:rPr>
          <w:vertAlign w:val="superscript"/>
        </w:rPr>
        <w:t xml:space="preserve">o</w:t>
      </w:r>
      <w:r>
        <w:t xml:space="preserve">C.</w:t>
      </w:r>
    </w:p>
    <w:p>
      <w:pPr>
        <w:pStyle w:val="FirstParagraph"/>
      </w:pPr>
      <w:r>
        <w:t xml:space="preserve">To maximize outputs for each sample, not more than 4 samples were inputted at the same time with the help of the Nanopore Barcodes.</w:t>
      </w:r>
    </w:p>
    <w:p>
      <w:pPr>
        <w:pStyle w:val="BodyText"/>
      </w:pPr>
      <w:r>
        <w:t xml:space="preserve">All sequencing was performed at 37</w:t>
      </w:r>
      <w:r>
        <w:rPr>
          <w:vertAlign w:val="superscript"/>
        </w:rPr>
        <w:t xml:space="preserve">o</w:t>
      </w:r>
      <w:r>
        <w:t xml:space="preserve">C using MinION flow cells (R.10.4.1 chemistry) on a GridION (ONT, UK) operated by ONT’s proprietary software, MinKNOW. Flow cells with more than approximately 800 pores were used for sequencing the sorted samples and the run lasted 30 hours. The flow cells were washed with the Flow Cell Wash Kit (EXP-WSH001). The raw nanopore POD5 reads were then basecalled using the Super Accurate models in Dorado offered by ONT and saved as FASTQ files with 4000 reads in each file.</w:t>
      </w:r>
    </w:p>
    <w:bookmarkEnd w:id="95"/>
    <w:bookmarkEnd w:id="96"/>
    <w:bookmarkStart w:id="101" w:name="learn"/>
    <w:p>
      <w:pPr>
        <w:pStyle w:val="Heading3"/>
      </w:pPr>
      <w:r>
        <w:t xml:space="preserve">4.4.5 Learn</w:t>
      </w:r>
    </w:p>
    <w:bookmarkStart w:id="97" w:name="sequence-data-preprocessing"/>
    <w:p>
      <w:pPr>
        <w:pStyle w:val="Heading4"/>
      </w:pPr>
      <w:r>
        <w:t xml:space="preserve">4.4.5.1 Sequence Data Preprocessing</w:t>
      </w:r>
    </w:p>
    <w:p>
      <w:pPr>
        <w:pStyle w:val="FirstParagraph"/>
      </w:pPr>
      <w:r>
        <w:t xml:space="preserve">The reads were first mapped to the WT sequence using Minimap2</w:t>
      </w:r>
      <w:r>
        <w:rPr>
          <w:vertAlign w:val="superscript"/>
        </w:rPr>
        <w:t xml:space="preserve">20</w:t>
      </w:r>
      <w:r>
        <w:t xml:space="preserve"> </w:t>
      </w:r>
      <w:r>
        <w:t xml:space="preserve">to make SAM files, which were then consolidated, sorted, and managed using SAMtools</w:t>
      </w:r>
      <w:r>
        <w:rPr>
          <w:vertAlign w:val="superscript"/>
        </w:rPr>
        <w:t xml:space="preserve">21</w:t>
      </w:r>
      <w:r>
        <w:t xml:space="preserve">. As we needed the entire length of the reads, BEDtools</w:t>
      </w:r>
      <w:r>
        <w:rPr>
          <w:vertAlign w:val="superscript"/>
        </w:rPr>
        <w:t xml:space="preserve">22</w:t>
      </w:r>
      <w:r>
        <w:t xml:space="preserve"> </w:t>
      </w:r>
      <w:r>
        <w:t xml:space="preserve">was used to identify fully mapped reads and a custom python script was used to extract these reads by name. For observing the variance across the different rounds, command line IGVtools</w:t>
      </w:r>
      <w:r>
        <w:rPr>
          <w:vertAlign w:val="superscript"/>
        </w:rPr>
        <w:t xml:space="preserve">23</w:t>
      </w:r>
      <w:r>
        <w:t xml:space="preserve"> </w:t>
      </w:r>
      <w:r>
        <w:t xml:space="preserve">was used to generate WIG files on the distribution of nucleotides observed at each position. All third-party software was incorporated into a single Docker</w:t>
      </w:r>
      <w:r>
        <w:rPr>
          <w:vertAlign w:val="superscript"/>
        </w:rPr>
        <w:t xml:space="preserve">24</w:t>
      </w:r>
      <w:r>
        <w:t xml:space="preserve"> </w:t>
      </w:r>
      <w:r>
        <w:t xml:space="preserve">container for ease of use and custom scripts are available on GitHub (Availablility of Data and Code).</w:t>
      </w:r>
    </w:p>
    <w:bookmarkEnd w:id="97"/>
    <w:bookmarkStart w:id="98" w:name="training-deep-learning-models"/>
    <w:p>
      <w:pPr>
        <w:pStyle w:val="Heading4"/>
      </w:pPr>
      <w:r>
        <w:t xml:space="preserve">4.4.5.2 Training Deep Learning Models</w:t>
      </w:r>
    </w:p>
    <w:p>
      <w:pPr>
        <w:pStyle w:val="FirstParagraph"/>
      </w:pPr>
      <w:r>
        <w:t xml:space="preserve">All processed sequences were encoded using the one-hot encoded method. To account for any sequencing errors (insertions/deletions) the reads were padded 1% more than the target sequence length. The encoded sequences were then divided into training, validation and testing datasets in a 2:1:1 manner. The CNN were built using tensorflow (v2.12.0) in Python. A skeleton CNN model architecture for which the hyperparameters such as number of layers, number of epochs, activation functions, size of the filters, along with the optimization function used. A Bayesian optimization function (scikit-optimize v0.9.0) was utilized to select for appropriate hyperparameters by using the validation MCC metric as the scorer. The model with the best validation MCC score was selected. The models being binary classifications, the final Dense Layers were fixed and were activated with a sigmoid function.</w:t>
      </w:r>
    </w:p>
    <w:p>
      <w:pPr>
        <w:pStyle w:val="BodyText"/>
      </w:pPr>
      <w:r>
        <w:t xml:space="preserve">For the DmpR circuit, the input dimensions were [1784, 4,</w:t>
      </w:r>
      <w:r>
        <w:t xml:space="preserve"> </w:t>
      </w:r>
      <m:oMath>
        <m:r>
          <m:t>n</m:t>
        </m:r>
      </m:oMath>
      <w:r>
        <w:t xml:space="preserve">], which correspond to [length of padded DmpR sequences, nucleotide, number of reads]. The Signal phenotype’s final model comprised of 3 Conv1D layers with 49 filters with a MaxPooling layer between each convolution layer resulting in total parameters of 34,342. The background model had 3 Conv1D layers with 200 filters in each Conv1D layer and resulted in total 268,150 trainable parameters. 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pStyle w:val="BodyText"/>
      </w:pPr>
      <w:r>
        <w:t xml:space="preserve">In the case of MPH, The model had input dimensions of [1000, 4, n]. After optimizing its hyperparameters, the final model had 4 Conv1D layers with 200 filters in each layer and resulted in 490,433 trainable parameters.</w:t>
      </w:r>
    </w:p>
    <w:bookmarkEnd w:id="98"/>
    <w:bookmarkStart w:id="99" w:name="predicting-multiple-phenotypes"/>
    <w:p>
      <w:pPr>
        <w:pStyle w:val="Heading4"/>
      </w:pPr>
      <w:r>
        <w:t xml:space="preserve">4.4.5.3 Predicting Multiple Phenotypes</w:t>
      </w:r>
    </w:p>
    <w:p>
      <w:pPr>
        <w:pStyle w:val="FirstParagraph"/>
      </w:pPr>
      <w:r>
        <w:t xml:space="preserve">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numPr>
          <w:ilvl w:val="0"/>
          <w:numId w:val="1006"/>
        </w:numPr>
        <w:pStyle w:val="Compact"/>
      </w:pPr>
      <w:r>
        <w:t xml:space="preserve">Binary Relevance vs Classifier vs Multiclass Classifications</w:t>
      </w:r>
    </w:p>
    <w:bookmarkEnd w:id="99"/>
    <w:bookmarkStart w:id="100" w:name="analyzing-data-for-visualization"/>
    <w:p>
      <w:pPr>
        <w:pStyle w:val="Heading4"/>
      </w:pPr>
      <w:r>
        <w:t xml:space="preserve">4.4.5.4 Analyzing Data for Visualization</w:t>
      </w:r>
    </w:p>
    <w:p>
      <w:pPr>
        <w:pStyle w:val="FirstParagraph"/>
      </w:pPr>
      <w:r>
        <w:t xml:space="preserve">To observe the spread and variation in the error-prone PCR mutagenesis, the mutant library and WT were sequence at the same time. Nanopore sequencing with R10.4.1 chemistry and SUP basecalling is known to have a single read accuracy of ~99.5%</w:t>
      </w:r>
      <w:r>
        <w:rPr>
          <w:vertAlign w:val="superscript"/>
        </w:rPr>
        <w:t xml:space="preserve">25</w:t>
      </w:r>
      <w:r>
        <w:t xml:space="preserve"> </w:t>
      </w:r>
      <w:r>
        <w:rPr>
          <w:bCs/>
          <w:b/>
        </w:rPr>
        <w:t xml:space="preserve">(Supplementary Data 9)</w:t>
      </w:r>
      <w:r>
        <w:t xml:space="preserve">, suggesting there are ~5 errors per kb. 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All graphs were constructed on python using the seaborn package (v0.13.0) in Python. Data from FACS was analyzed using the FlowCal package (v1.3.0)</w:t>
      </w:r>
      <w:r>
        <w:rPr>
          <w:vertAlign w:val="superscript"/>
        </w:rPr>
        <w:t xml:space="preserve">26</w:t>
      </w:r>
      <w:r>
        <w:t xml:space="preserve"> </w:t>
      </w:r>
      <w:r>
        <w:t xml:space="preserve">and visualized using seaborn. WIG files of sequenced mutant libraries generated using IGVtools</w:t>
      </w:r>
      <w:r>
        <w:rPr>
          <w:vertAlign w:val="superscript"/>
        </w:rPr>
        <w:t xml:space="preserve">23</w:t>
      </w:r>
      <w:r>
        <w:t xml:space="preserve"> </w:t>
      </w:r>
      <w:r>
        <w:t xml:space="preserve">provided positional nucleotide information and visualized using seaborn. Streamlit applications for both were constructed for public use (</w:t>
      </w:r>
      <w:hyperlink r:id="rId59">
        <w:r>
          <w:rPr>
            <w:rStyle w:val="Hyperlink"/>
          </w:rPr>
          <w:t xml:space="preserve">https://facsvisualization.streamlit.app/</w:t>
        </w:r>
      </w:hyperlink>
      <w:r>
        <w:t xml:space="preserve"> </w:t>
      </w:r>
      <w:r>
        <w:t xml:space="preserve">and</w:t>
      </w:r>
      <w:r>
        <w:t xml:space="preserve"> </w:t>
      </w:r>
      <w:hyperlink r:id="rId61">
        <w:r>
          <w:rPr>
            <w:rStyle w:val="Hyperlink"/>
          </w:rPr>
          <w:t xml:space="preserve">https://libraryanalysis.streamlit.app/</w:t>
        </w:r>
      </w:hyperlink>
      <w:r>
        <w:t xml:space="preserve">).</w:t>
      </w:r>
    </w:p>
    <w:bookmarkEnd w:id="100"/>
    <w:bookmarkEnd w:id="101"/>
    <w:bookmarkEnd w:id="102"/>
    <w:bookmarkEnd w:id="103"/>
    <w:bookmarkStart w:id="115" w:name="Xed713cdf3857a7e709c6929280011f78b0fcf81"/>
    <w:p>
      <w:pPr>
        <w:pStyle w:val="Heading1"/>
      </w:pPr>
      <w:r>
        <w:t xml:space="preserve">5. Biofoundry based production and multiplexed identification of mutants</w:t>
      </w:r>
    </w:p>
    <w:bookmarkStart w:id="104" w:name="introduction-3"/>
    <w:p>
      <w:pPr>
        <w:pStyle w:val="Heading2"/>
      </w:pPr>
      <w:r>
        <w:t xml:space="preserve">5.1 Introduction</w:t>
      </w:r>
    </w:p>
    <w:bookmarkEnd w:id="104"/>
    <w:bookmarkStart w:id="112" w:name="methods-2"/>
    <w:p>
      <w:pPr>
        <w:pStyle w:val="Heading2"/>
      </w:pPr>
      <w:r>
        <w:t xml:space="preserve">5.2 Methods</w:t>
      </w:r>
    </w:p>
    <w:bookmarkStart w:id="105" w:name="design"/>
    <w:p>
      <w:pPr>
        <w:pStyle w:val="Heading3"/>
      </w:pPr>
      <w:r>
        <w:t xml:space="preserve">5.2.1 Design</w:t>
      </w:r>
    </w:p>
    <w:p>
      <w:pPr>
        <w:numPr>
          <w:ilvl w:val="0"/>
          <w:numId w:val="1007"/>
        </w:numPr>
      </w:pPr>
      <w:r>
        <w:t xml:space="preserve">In-silico Modelling:</w:t>
      </w:r>
    </w:p>
    <w:p>
      <w:pPr>
        <w:numPr>
          <w:ilvl w:val="1"/>
          <w:numId w:val="1008"/>
        </w:numPr>
      </w:pPr>
      <w:r>
        <w:t xml:space="preserve">Random</w:t>
      </w:r>
    </w:p>
    <w:p>
      <w:pPr>
        <w:numPr>
          <w:ilvl w:val="1"/>
          <w:numId w:val="1008"/>
        </w:numPr>
      </w:pPr>
      <w:r>
        <w:t xml:space="preserve">Generative AI</w:t>
      </w:r>
    </w:p>
    <w:p>
      <w:pPr>
        <w:numPr>
          <w:ilvl w:val="0"/>
          <w:numId w:val="1007"/>
        </w:numPr>
      </w:pPr>
      <w:r>
        <w:t xml:space="preserve">Primer Design</w:t>
      </w:r>
    </w:p>
    <w:p>
      <w:pPr>
        <w:numPr>
          <w:ilvl w:val="0"/>
          <w:numId w:val="1007"/>
        </w:numPr>
      </w:pPr>
      <w:r>
        <w:t xml:space="preserve">Biofoundry equipment mapping</w:t>
      </w:r>
    </w:p>
    <w:bookmarkEnd w:id="105"/>
    <w:bookmarkStart w:id="106" w:name="build"/>
    <w:p>
      <w:pPr>
        <w:pStyle w:val="Heading3"/>
      </w:pPr>
      <w:r>
        <w:t xml:space="preserve">5.2.2 Build</w:t>
      </w:r>
    </w:p>
    <w:p>
      <w:pPr>
        <w:numPr>
          <w:ilvl w:val="0"/>
          <w:numId w:val="1009"/>
        </w:numPr>
        <w:pStyle w:val="Compact"/>
      </w:pPr>
      <w:r>
        <w:t xml:space="preserve">SDM</w:t>
      </w:r>
    </w:p>
    <w:bookmarkEnd w:id="106"/>
    <w:bookmarkStart w:id="110" w:name="test-high-throughput-mutant-screening"/>
    <w:p>
      <w:pPr>
        <w:pStyle w:val="Heading3"/>
      </w:pPr>
      <w:r>
        <w:t xml:space="preserve">5.2.3 Test: High-throughput mutant screening</w:t>
      </w:r>
    </w:p>
    <w:bookmarkStart w:id="107" w:name="multiplexed-barcode-pcr-sequencing"/>
    <w:p>
      <w:pPr>
        <w:pStyle w:val="Heading4"/>
      </w:pPr>
      <w:r>
        <w:t xml:space="preserve">5.2.3.1 Multiplexed barcode PCR sequencing</w:t>
      </w:r>
    </w:p>
    <w:bookmarkEnd w:id="107"/>
    <w:bookmarkStart w:id="108" w:name="nanopore-analysis-1"/>
    <w:p>
      <w:pPr>
        <w:pStyle w:val="Heading4"/>
      </w:pPr>
      <w:r>
        <w:t xml:space="preserve">5.2.3.2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108"/>
    <w:bookmarkStart w:id="109" w:name="phenotyping"/>
    <w:p>
      <w:pPr>
        <w:pStyle w:val="Heading4"/>
      </w:pPr>
      <w:r>
        <w:t xml:space="preserve">5.2.3.3 Phenotyping</w:t>
      </w:r>
    </w:p>
    <w:bookmarkEnd w:id="109"/>
    <w:bookmarkEnd w:id="110"/>
    <w:bookmarkStart w:id="111" w:name="learn-1"/>
    <w:p>
      <w:pPr>
        <w:pStyle w:val="Heading3"/>
      </w:pPr>
      <w:r>
        <w:t xml:space="preserve">5.2.4 Learn</w:t>
      </w:r>
    </w:p>
    <w:p>
      <w:pPr>
        <w:numPr>
          <w:ilvl w:val="0"/>
          <w:numId w:val="1010"/>
        </w:numPr>
        <w:pStyle w:val="Compact"/>
      </w:pPr>
      <w:r>
        <w:t xml:space="preserve">Structure Predictions and Simulations</w:t>
      </w:r>
    </w:p>
    <w:bookmarkEnd w:id="111"/>
    <w:bookmarkEnd w:id="112"/>
    <w:bookmarkStart w:id="113" w:name="results-1"/>
    <w:p>
      <w:pPr>
        <w:pStyle w:val="Heading2"/>
      </w:pPr>
      <w:r>
        <w:t xml:space="preserve">5.3 Results</w:t>
      </w:r>
    </w:p>
    <w:p>
      <w:pPr>
        <w:pStyle w:val="FirstParagraph"/>
      </w:pPr>
      <w:r>
        <w:t xml:space="preserve">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pPr>
        <w:pStyle w:val="BodyText"/>
      </w:pPr>
      <w:r>
        <w:t xml:space="preserve">Using the positional information, the role and importance of the residue can be interpreted. For example, P482Q is present at a linker between the ATPase domain and the DNA binding domain. Substituting proline for glutamine may promote water-based H-bonding which improves flexible binding and release of the TF from the promoter DNA.</w:t>
      </w:r>
    </w:p>
    <w:p>
      <w:pPr>
        <w:pStyle w:val="BodyText"/>
      </w:pPr>
      <w:r>
        <w:t xml:space="preserve">DmpR</w:t>
      </w:r>
    </w:p>
    <w:p>
      <w:pPr>
        <w:pStyle w:val="BodyText"/>
      </w:pPr>
      <w:r>
        <w:t xml:space="preserve">MPH</w:t>
      </w:r>
    </w:p>
    <w:bookmarkEnd w:id="113"/>
    <w:bookmarkStart w:id="114" w:name="discussion"/>
    <w:p>
      <w:pPr>
        <w:pStyle w:val="Heading2"/>
      </w:pPr>
      <w:r>
        <w:t xml:space="preserve">5.4 Discussion</w:t>
      </w:r>
    </w:p>
    <w:bookmarkEnd w:id="114"/>
    <w:bookmarkEnd w:id="115"/>
    <w:bookmarkStart w:id="125" w:name="assembling-long-dna"/>
    <w:p>
      <w:pPr>
        <w:pStyle w:val="Heading1"/>
      </w:pPr>
      <w:r>
        <w:t xml:space="preserve">6. Assembling Long-DNA</w:t>
      </w:r>
    </w:p>
    <w:bookmarkStart w:id="117" w:name="introduction-4"/>
    <w:p>
      <w:pPr>
        <w:pStyle w:val="Heading2"/>
      </w:pPr>
      <w:r>
        <w:t xml:space="preserve">6.1 Introduction</w:t>
      </w:r>
    </w:p>
    <w:p>
      <w:pPr>
        <w:pStyle w:val="FirstParagraph"/>
      </w:pPr>
      <w:r>
        <w:t xml:space="preserve">The field of synthetic biology has garnered significant global interest owing to its diverse applications in bio-based production, biosensing, living therapeutics, and drug delivery. This heightened interest has subsequently increased the demand for novel protein synthesis and, ultimately, genome-scale assemblies. However, gene assembly from oligomers presents several challenges, including the risk of incorrect assembly between oligomers, self-annealing, and the potential for insertions or deletions resulting from mis-annealed oligomers. Dsembler (DNA Assembly Designer) is a web-based software application designed to minimize errors during DNA assembly processes. By enhancing the accuracy of oligomer design, Dsembler addresses critical challenges in synthetic biology and supports advancements in genetic engineering and molecular biology applications.</w:t>
      </w:r>
    </w:p>
    <w:p>
      <w:pPr>
        <w:pStyle w:val="BodyText"/>
      </w:pPr>
      <w:r>
        <w:t xml:space="preserve">The primary objective of synthetic biology is to design and construction of biological systems that fulfill specific, pre-determined functions. Progress in this field is heavily reliant on the ability upon the ability to assemble short oligomers, which are essential for creating customizable and functional DNA strands. The declining costs of DNA synthesis, alongside advancements in computational capabilities, have facilitated rapid developments in the construction of increasingly longer DNA sequences. Several DNA assembly techniques, such as polymerase chain assembly (PCA), Gibson Assembly, and Golden Gate Assembly, have been developed and continue to be improved</w:t>
      </w:r>
      <w:r>
        <w:rPr>
          <w:vertAlign w:val="superscript"/>
        </w:rPr>
        <w:t xml:space="preserve">1</w:t>
      </w:r>
      <w:r>
        <w:t xml:space="preserve">. However, as DNA assemblies become longer, the physical constraints of successful assembly also increase progressively. The total number of errors occurring within an assembly could be reduced by optimizing oligomer design and minimizing the number of errors at this earlier step.</w:t>
      </w:r>
    </w:p>
    <w:p>
      <w:pPr>
        <w:pStyle w:val="BodyText"/>
      </w:pPr>
      <w:r>
        <w:t xml:space="preserve">Although there are numerous software offering the design and analysis of short fragments of DNA, such as primers</w:t>
      </w:r>
      <w:r>
        <w:rPr>
          <w:vertAlign w:val="superscript"/>
        </w:rPr>
        <w:t xml:space="preserve">2,3,4</w:t>
      </w:r>
      <w:r>
        <w:t xml:space="preserve">, there has been a deficit in oligomer design tools, specifically to construct DNA assemblies. Currently publicly available software is limited in number and range of functionality, such as GeneDesign, DNAworks, and Gene designer, that mainly focus on melting temperature (Tm) and GC content overlap</w:t>
      </w:r>
      <w:r>
        <w:rPr>
          <w:vertAlign w:val="superscript"/>
        </w:rPr>
        <w:t xml:space="preserve">3, 5, 6</w:t>
      </w:r>
      <w:r>
        <w:t xml:space="preserve">.</w:t>
      </w:r>
    </w:p>
    <w:p>
      <w:pPr>
        <w:pStyle w:val="BodyText"/>
      </w:pPr>
      <w:r>
        <w:t xml:space="preserve">Here, we report a novel software tool, Dsembler (DNA Assembly Designer), which focuses on optimizing oligomer sequences for longer double strand DNA with PCA/Gibson</w:t>
      </w:r>
      <w:r>
        <w:t xml:space="preserve"> </w:t>
      </w:r>
      <w:r>
        <w:rPr>
          <w:iCs/>
          <w:i/>
        </w:rPr>
        <w:t xml:space="preserve">de novo</w:t>
      </w:r>
      <w:r>
        <w:t xml:space="preserve"> </w:t>
      </w:r>
      <w:r>
        <w:t xml:space="preserve">DNA assemblies. Dsembler generates appropriate assembly oligomers for a given sequence under specified conditions. It also provides possible causes of errors for each oligomer and visualization of the overlaps, which allows users to make more informed decisions regarding their experimental design. The software is available at</w:t>
      </w:r>
      <w:r>
        <w:t xml:space="preserve"> </w:t>
      </w:r>
      <w:hyperlink r:id="rId116">
        <w:r>
          <w:rPr>
            <w:rStyle w:val="Hyperlink"/>
          </w:rPr>
          <w:t xml:space="preserve">http://223.130.146.86:8088/</w:t>
        </w:r>
      </w:hyperlink>
      <w:r>
        <w:t xml:space="preserve">.</w:t>
      </w:r>
    </w:p>
    <w:p>
      <w:pPr>
        <w:numPr>
          <w:ilvl w:val="0"/>
          <w:numId w:val="1011"/>
        </w:numPr>
      </w:pPr>
      <w:r>
        <w:t xml:space="preserve">Literature Review of Traditional Synthetic Biology design rules</w:t>
      </w:r>
    </w:p>
    <w:p>
      <w:pPr>
        <w:numPr>
          <w:ilvl w:val="0"/>
          <w:numId w:val="1011"/>
        </w:numPr>
      </w:pPr>
      <w:r>
        <w:t xml:space="preserve">Constructing plasmids and genomes</w:t>
      </w:r>
    </w:p>
    <w:p>
      <w:pPr>
        <w:numPr>
          <w:ilvl w:val="0"/>
          <w:numId w:val="1011"/>
        </w:numPr>
      </w:pPr>
      <w:r>
        <w:t xml:space="preserve">Limited tools/ Not better than manually working though them- Labour intensive</w:t>
      </w:r>
    </w:p>
    <w:p>
      <w:pPr>
        <w:numPr>
          <w:ilvl w:val="0"/>
          <w:numId w:val="1011"/>
        </w:numPr>
      </w:pPr>
      <w:r>
        <w:t xml:space="preserve">Synthesizing Large fragments is challenging</w:t>
      </w:r>
    </w:p>
    <w:bookmarkEnd w:id="117"/>
    <w:bookmarkStart w:id="118" w:name="consideration-for-designing-oligomers"/>
    <w:p>
      <w:pPr>
        <w:pStyle w:val="Heading2"/>
      </w:pPr>
      <w:r>
        <w:t xml:space="preserve">6.2 Consideration for designing oligomers</w:t>
      </w:r>
    </w:p>
    <w:p>
      <w:pPr>
        <w:pStyle w:val="FirstParagraph"/>
      </w:pPr>
      <w:r>
        <w:t xml:space="preserve">Dsembler was developed using R (version 4.1.2) with a lightweight Shiny web user interface and MongoDB database storage, utilizing the mongolite package. Users can navigate through the simple Dsembler web interface on their local network. By receiving inputs for the target DNA sequence, oligomer size, overlap size, and melting temperature range, a set of oligomers can be designed. Users can download XLSX or FASTA files containing their respective oligomers. The pipeline is shown in Fig. 1.</w:t>
      </w:r>
    </w:p>
    <w:p>
      <w:pPr>
        <w:pStyle w:val="BodyText"/>
      </w:pPr>
      <w:r>
        <w:rPr>
          <w:bCs/>
          <w:b/>
        </w:rPr>
        <w:t xml:space="preserve">Designing optimized oligomers</w:t>
      </w:r>
      <w:r>
        <w:br/>
      </w:r>
      <w:r>
        <w:t xml:space="preserve"> </w:t>
      </w:r>
      <w:r>
        <w:t xml:space="preserve">The main considerations of Dsembler while optimizing oligomers includes: 1) Designing oligomers while avoiding possible errors in a DNA assembly. The central idea of the algorithm is to generate an array of candidate oligomers within the given parameters and select the ones that best fit the parameters (Figure 1). Ideally, they should not contain thymine as the last nucleotide of the 3’ end, have an overlap GC content between 40-60%, and a Tm within the range specified by the user. If no oligomers are suitable, the next best fit is provided along with a warning. Tm is calculated based on the Nearest Neighbor Equation supported by the SantaLucia</w:t>
      </w:r>
      <w:r>
        <w:rPr>
          <w:vertAlign w:val="superscript"/>
        </w:rPr>
        <w:t xml:space="preserve">7</w:t>
      </w:r>
      <w:r>
        <w:t xml:space="preserve"> </w:t>
      </w:r>
      <w:r>
        <w:t xml:space="preserve">thermodynamic table</w:t>
      </w:r>
      <w:r>
        <w:rPr>
          <w:vertAlign w:val="superscript"/>
        </w:rPr>
        <w:t xml:space="preserve">8</w:t>
      </w:r>
      <w:r>
        <w:t xml:space="preserve">.</w:t>
      </w:r>
    </w:p>
    <w:p>
      <w:pPr>
        <w:pStyle w:val="BodyText"/>
      </w:pPr>
      <w:r>
        <w:t xml:space="preserve">2) Dsembler prevents the false assembly of oligomers that share complementary base pairs between their overlaps. Consecutive oligomers are grouped and segregated based on the presence of repeated sequences (10bp) between the overlap of oligomers in each group.</w:t>
      </w:r>
    </w:p>
    <w:p>
      <w:pPr>
        <w:pStyle w:val="BodyText"/>
      </w:pPr>
      <w:r>
        <w:t xml:space="preserve">3) A penalty score that assesses the assembly errors is provided in advance. The scores of each oligomer are calculated by a weighted sum of possible causes of error that may occur during assembly. This is presented in the following equation:</w:t>
      </w:r>
    </w:p>
    <w:p>
      <w:pPr>
        <w:pStyle w:val="BodyText"/>
      </w:pPr>
      <w:r>
        <w:t xml:space="preserve">Where</w:t>
      </w:r>
      <w:r>
        <w:t xml:space="preserve"> </w:t>
      </w:r>
      <w:r>
        <w:rPr>
          <w:iCs/>
          <w:i/>
        </w:rPr>
        <w:t xml:space="preserve">T</w:t>
      </w:r>
      <w:r>
        <w:rPr>
          <w:vertAlign w:val="subscript"/>
          <w:iCs/>
          <w:i/>
        </w:rPr>
        <w:t xml:space="preserve">t</w:t>
      </w:r>
      <w:r>
        <w:t xml:space="preserve"> </w:t>
      </w:r>
      <w:r>
        <w:t xml:space="preserve">and</w:t>
      </w:r>
      <w:r>
        <w:t xml:space="preserve"> </w:t>
      </w:r>
      <w:r>
        <w:rPr>
          <w:iCs/>
          <w:i/>
        </w:rPr>
        <w:t xml:space="preserve">T</w:t>
      </w:r>
      <w:r>
        <w:rPr>
          <w:vertAlign w:val="subscript"/>
          <w:iCs/>
          <w:i/>
        </w:rPr>
        <w:t xml:space="preserve">c</w:t>
      </w:r>
      <w:r>
        <w:t xml:space="preserve"> </w:t>
      </w:r>
      <w:r>
        <w:t xml:space="preserve">are the target overlap Tm and the calculated overlap Tm respectively, 1</w:t>
      </w:r>
      <w:r>
        <w:rPr>
          <w:iCs/>
          <w:i/>
          <w:vertAlign w:val="subscript"/>
        </w:rPr>
        <w:t xml:space="preserve">T</w:t>
      </w:r>
      <w:r>
        <w:t xml:space="preserve"> </w:t>
      </w:r>
      <w:r>
        <w:t xml:space="preserve">represents an indicator function, which is one if the base at the 3¢ end of the oligomer is a Thymine; otherwise, it is zero.</w:t>
      </w:r>
      <w:r>
        <w:t xml:space="preserve"> </w:t>
      </w:r>
      <w:r>
        <w:rPr>
          <w:iCs/>
          <w:i/>
        </w:rPr>
        <w:t xml:space="preserve">GC</w:t>
      </w:r>
      <w:r>
        <w:rPr>
          <w:vertAlign w:val="subscript"/>
          <w:iCs/>
          <w:i/>
        </w:rPr>
        <w:t xml:space="preserve">clamp</w:t>
      </w:r>
      <w:r>
        <w:t xml:space="preserve"> </w:t>
      </w:r>
      <w:r>
        <w:t xml:space="preserve">refers to the number of GC clamps in the overlapping region.</w:t>
      </w:r>
      <w:r>
        <w:t xml:space="preserve"> </w:t>
      </w:r>
      <w:r>
        <w:rPr>
          <w:iCs/>
          <w:i/>
        </w:rPr>
        <w:t xml:space="preserve">R</w:t>
      </w:r>
      <w:r>
        <w:rPr>
          <w:vertAlign w:val="subscript"/>
          <w:iCs/>
          <w:i/>
        </w:rPr>
        <w:t xml:space="preserve">within</w:t>
      </w:r>
      <w:r>
        <w:t xml:space="preserve"> </w:t>
      </w:r>
      <w:r>
        <w:t xml:space="preserve">represents the number of repeated base pairs within each oligomer.</w:t>
      </w:r>
      <w:r>
        <w:t xml:space="preserve"> </w:t>
      </w:r>
      <w:r>
        <w:rPr>
          <w:iCs/>
          <w:i/>
        </w:rPr>
        <w:t xml:space="preserve">R</w:t>
      </w:r>
      <w:r>
        <w:rPr>
          <w:vertAlign w:val="subscript"/>
          <w:iCs/>
          <w:i/>
        </w:rPr>
        <w:t xml:space="preserve">between</w:t>
      </w:r>
      <w:r>
        <w:t xml:space="preserve"> </w:t>
      </w:r>
      <w:r>
        <w:t xml:space="preserve">represents the number of repeat base pairs between overlaps in a cluster. A theoretically faultless oligomer that fits all target parameters will have a score of zero.</w:t>
      </w:r>
    </w:p>
    <w:p>
      <w:pPr>
        <w:numPr>
          <w:ilvl w:val="0"/>
          <w:numId w:val="1012"/>
        </w:numPr>
        <w:pStyle w:val="Compact"/>
      </w:pPr>
      <w:r>
        <w:t xml:space="preserve">Lastly, Dsembler provides six distinct error codes accompanied by a corresponding score for each oligomer. This feature enables users to adjust parameters to facilitate a more reliable and error-resistant assembly process</w:t>
      </w:r>
    </w:p>
    <w:p>
      <w:pPr>
        <w:numPr>
          <w:ilvl w:val="0"/>
          <w:numId w:val="1013"/>
        </w:numPr>
      </w:pPr>
      <w:r>
        <w:t xml:space="preserve">Number of overlaps</w:t>
      </w:r>
    </w:p>
    <w:p>
      <w:pPr>
        <w:numPr>
          <w:ilvl w:val="0"/>
          <w:numId w:val="1013"/>
        </w:numPr>
      </w:pPr>
      <w:r>
        <w:t xml:space="preserve">No repeats</w:t>
      </w:r>
    </w:p>
    <w:p>
      <w:pPr>
        <w:numPr>
          <w:ilvl w:val="0"/>
          <w:numId w:val="1013"/>
        </w:numPr>
      </w:pPr>
      <w:r>
        <w:t xml:space="preserve">GC%</w:t>
      </w:r>
    </w:p>
    <w:p>
      <w:pPr>
        <w:numPr>
          <w:ilvl w:val="0"/>
          <w:numId w:val="1013"/>
        </w:numPr>
      </w:pPr>
      <w:r>
        <w:t xml:space="preserve">No A at 3’ end</w:t>
      </w:r>
    </w:p>
    <w:bookmarkEnd w:id="118"/>
    <w:bookmarkStart w:id="119" w:name="psuedocode"/>
    <w:p>
      <w:pPr>
        <w:pStyle w:val="Heading2"/>
      </w:pPr>
      <w:r>
        <w:t xml:space="preserve">6.3 Psuedocode</w:t>
      </w:r>
    </w:p>
    <w:bookmarkEnd w:id="119"/>
    <w:bookmarkStart w:id="121" w:name="user-interface"/>
    <w:p>
      <w:pPr>
        <w:pStyle w:val="Heading2"/>
      </w:pPr>
      <w:r>
        <w:t xml:space="preserve">6.4 User Interface</w:t>
      </w:r>
    </w:p>
    <w:p>
      <w:pPr>
        <w:pStyle w:val="FirstParagraph"/>
      </w:pPr>
      <w:r>
        <w:t xml:space="preserve">Users can register on Dsembler to store, manage, and analyze their queries effectively (Figure 2). The</w:t>
      </w:r>
      <w:r>
        <w:t xml:space="preserve"> </w:t>
      </w:r>
      <w:r>
        <w:t xml:space="preserve">“</w:t>
      </w:r>
      <w:r>
        <w:t xml:space="preserve">Project</w:t>
      </w:r>
      <w:r>
        <w:t xml:space="preserve">”</w:t>
      </w:r>
      <w:r>
        <w:t xml:space="preserve"> </w:t>
      </w:r>
      <w:r>
        <w:t xml:space="preserve">tab enables users to manage queries on a project-specific basis. The</w:t>
      </w:r>
      <w:r>
        <w:t xml:space="preserve"> </w:t>
      </w:r>
      <w:r>
        <w:t xml:space="preserve">“</w:t>
      </w:r>
      <w:r>
        <w:t xml:space="preserve">Sample</w:t>
      </w:r>
      <w:r>
        <w:t xml:space="preserve">”</w:t>
      </w:r>
      <w:r>
        <w:t xml:space="preserve"> </w:t>
      </w:r>
      <w:r>
        <w:t xml:space="preserve">tab allows for the upload of DNA sample files in FASTA format or directly via a dialog box. Within the</w:t>
      </w:r>
      <w:r>
        <w:t xml:space="preserve"> </w:t>
      </w:r>
      <w:r>
        <w:t xml:space="preserve">“</w:t>
      </w:r>
      <w:r>
        <w:t xml:space="preserve">Design</w:t>
      </w:r>
      <w:r>
        <w:t xml:space="preserve">”</w:t>
      </w:r>
      <w:r>
        <w:t xml:space="preserve"> </w:t>
      </w:r>
      <w:r>
        <w:t xml:space="preserve">tab, users can design oligomers by specifying preferred conditions, including melting temperature (Tm), maximum oligomer length, and maximum overlap length for the uploaded samples. The</w:t>
      </w:r>
      <w:r>
        <w:t xml:space="preserve"> </w:t>
      </w:r>
      <w:r>
        <w:t xml:space="preserve">“</w:t>
      </w:r>
      <w:r>
        <w:t xml:space="preserve">Assembly</w:t>
      </w:r>
      <w:r>
        <w:t xml:space="preserve">”</w:t>
      </w:r>
      <w:r>
        <w:t xml:space="preserve"> </w:t>
      </w:r>
      <w:r>
        <w:t xml:space="preserve">tab offers a visualization of the assembled DNA data through tables and graphs, with the option to download results in Excel format. Error information for each oligomer is also provided in this section. Finally, the</w:t>
      </w:r>
      <w:r>
        <w:t xml:space="preserve"> </w:t>
      </w:r>
      <w:r>
        <w:t xml:space="preserve">“</w:t>
      </w:r>
      <w:r>
        <w:t xml:space="preserve">Optimizer</w:t>
      </w:r>
      <w:r>
        <w:t xml:space="preserve">”</w:t>
      </w:r>
      <w:r>
        <w:t xml:space="preserve"> </w:t>
      </w:r>
      <w:r>
        <w:t xml:space="preserve">tab allows users to manually optimize oligomers identified as error prone. The resulting oligomers are presented as 5’ to 3’ sequences in CSV format, facilitating the ordering of synthetic DNA.</w:t>
      </w:r>
    </w:p>
    <w:p>
      <w:pPr>
        <w:numPr>
          <w:ilvl w:val="0"/>
          <w:numId w:val="1014"/>
        </w:numPr>
      </w:pPr>
      <w:r>
        <w:t xml:space="preserve">Python- Flask</w:t>
      </w:r>
    </w:p>
    <w:p>
      <w:pPr>
        <w:numPr>
          <w:ilvl w:val="0"/>
          <w:numId w:val="1014"/>
        </w:numPr>
      </w:pPr>
      <w:r>
        <w:t xml:space="preserve">R- Shiny</w:t>
      </w:r>
    </w:p>
    <w:p>
      <w:pPr>
        <w:numPr>
          <w:ilvl w:val="0"/>
          <w:numId w:val="1015"/>
        </w:numPr>
        <w:pStyle w:val="Compact"/>
      </w:pPr>
      <w:r>
        <w:t xml:space="preserve">Role of Biofoundry</w:t>
      </w:r>
    </w:p>
    <w:bookmarkStart w:id="120" w:name="results-2"/>
    <w:p>
      <w:pPr>
        <w:pStyle w:val="Heading3"/>
      </w:pPr>
      <w:r>
        <w:t xml:space="preserve">6.4.1 Results</w:t>
      </w:r>
    </w:p>
    <w:p>
      <w:pPr>
        <w:pStyle w:val="FirstParagraph"/>
      </w:pPr>
      <w:r>
        <w:t xml:space="preserve">An initial comparative study was conducted to evaluate the performance of manually designed oligomers, GeneDesign</w:t>
      </w:r>
      <w:r>
        <w:rPr>
          <w:vertAlign w:val="superscript"/>
        </w:rPr>
        <w:t xml:space="preserve">3</w:t>
      </w:r>
      <w:r>
        <w:t xml:space="preserve">, and Dsembler. Oligomers corresponding to a predefined 520 bp fragment from the M13 bacteriophage genome were designed using these three approaches and subsequently synthesized and assembled via Polymerase Chain Assembly (PCA). The parameters for the oligomer design were set to an expected size of 50 bp, an overlap size of 20 bp, and a melting temperature (Tm) of 56 °C.</w:t>
      </w:r>
    </w:p>
    <w:p>
      <w:pPr>
        <w:pStyle w:val="BodyText"/>
      </w:pPr>
      <w:r>
        <w:t xml:space="preserve">The effectiveness of the three design methodologies was assessed by analyzing their insertion and deletion rates (errors per kilobase) following sequencing of the assembled DNA derived from the colonies. Additionally, the proportion of randomly sampled colonies exhibiting no errors was evaluated.</w:t>
      </w:r>
    </w:p>
    <w:p>
      <w:pPr>
        <w:pStyle w:val="BodyText"/>
      </w:pPr>
      <w:r>
        <w:t xml:space="preserve">For this sequence assembly, Dsembler was seen to be relatively successful with no insertions recorded and minimal deletions (0.38 ± 0.5 errors/kbp). The error rate for Dsembler oligomers was significantly lower than that observed for GeneDesign (2.02 ± 1.0 errors/kbp) and manually designed oligomers (0.67 ± 0.6 errors/kbp). Furthermore, the proportion of error-free colonies generated from Dsembler oligomers (83%) was comparable to that of manually designed oligomers (71%), and more than double that of GeneDesign oligomers (33%). These findings highlight the enhanced reliability of Dsembler in oligomer design and assembly.</w:t>
      </w:r>
    </w:p>
    <w:p>
      <w:pPr>
        <w:pStyle w:val="BodyText"/>
      </w:pPr>
      <w:r>
        <w:t xml:space="preserve">GeneDesign.</w:t>
      </w:r>
    </w:p>
    <w:p>
      <w:pPr>
        <w:pStyle w:val="BodyText"/>
      </w:pPr>
      <w:r>
        <w:t xml:space="preserve">Lower error rates along with a high proportion of error free colonies imply fewer experimental steps during assembly, particularly for error corrections. This would accelerate long DNA assembly and be useful for high throughput protocols.</w:t>
      </w:r>
    </w:p>
    <w:p>
      <w:pPr>
        <w:pStyle w:val="BodyText"/>
      </w:pPr>
      <w:r>
        <w:t xml:space="preserve">Dsembler was also integrated with the K-biofoundry to scale up the assembly of longer DNA sequences (Methods). The established tool DNAworks was used to compare the efficacy of Dsembler. Both tools were used to design fragments of the AurI gene from Bacteroides thetaiotaomicron.</w:t>
      </w:r>
    </w:p>
    <w:p>
      <w:pPr>
        <w:pStyle w:val="BodyText"/>
      </w:pPr>
      <w:r>
        <w:br/>
      </w:r>
      <w:r>
        <w:t xml:space="preserve">The designed gene fragments were synthesized and subsequently assembled using PCA. The assembled gene fragments were analyzed with a fragment analyzer to assess the success and accuracy of the assembly. Oligomers from both Dsembler and DNAworks were successfully assembled. Although the assemblies by DNAworks had the correct sizes, they also showed the presence of non-target DNA sequences which could be attributed to incorrect assemblies.  The quality and efficiency of the assembly process were found to be comparable between the two tools.</w:t>
      </w:r>
    </w:p>
    <w:p>
      <w:pPr>
        <w:pStyle w:val="BodyText"/>
      </w:pPr>
      <w:r>
        <w:t xml:space="preserve">Oligomer design is a crucial step in increasing the efficiency of long DNA assembly. Our DNA Assembly Designer, Dsembler, utilizes a capable algorithmic design that exhibits the ability to generate optimal oligomers for DNA assemblies. It has an easy-to-navigate user interface with default values to guide users at all steps. More investigation of parameters that influence DNA assembly should be incorporated in the future, such as identifying secondary structures, codon optimization, and insert-backbone-based assembly. We envision that Dsembler will help improve fast-track genome assemblies and contribute to strengthening the development of synthetic biology.</w:t>
      </w:r>
    </w:p>
    <w:bookmarkEnd w:id="120"/>
    <w:bookmarkEnd w:id="121"/>
    <w:bookmarkStart w:id="122" w:name="discussion-1"/>
    <w:p>
      <w:pPr>
        <w:pStyle w:val="Heading2"/>
      </w:pPr>
      <w:r>
        <w:t xml:space="preserve">6.5 Discussion</w:t>
      </w:r>
    </w:p>
    <w:p>
      <w:pPr>
        <w:numPr>
          <w:ilvl w:val="0"/>
          <w:numId w:val="1016"/>
        </w:numPr>
        <w:pStyle w:val="Compact"/>
      </w:pPr>
      <w:r>
        <w:t xml:space="preserve">Integrating with the Biofoundry and sample tracking to mass produce samples</w:t>
      </w:r>
    </w:p>
    <w:p>
      <w:pPr>
        <w:numPr>
          <w:ilvl w:val="0"/>
          <w:numId w:val="1016"/>
        </w:numPr>
        <w:pStyle w:val="Compact"/>
      </w:pPr>
      <w:r>
        <w:t xml:space="preserve">Structure predictions</w:t>
      </w:r>
    </w:p>
    <w:bookmarkEnd w:id="122"/>
    <w:bookmarkStart w:id="124" w:name="experimental-evaluation"/>
    <w:p>
      <w:pPr>
        <w:pStyle w:val="Heading2"/>
      </w:pPr>
      <w:r>
        <w:t xml:space="preserve">6.6 Experimental Evaluation</w:t>
      </w:r>
    </w:p>
    <w:bookmarkStart w:id="123" w:name="materials-and-methods"/>
    <w:p>
      <w:pPr>
        <w:pStyle w:val="Heading3"/>
      </w:pPr>
      <w:r>
        <w:t xml:space="preserve">6.6.1 Materials and Methods</w:t>
      </w:r>
    </w:p>
    <w:p>
      <w:pPr>
        <w:pStyle w:val="FirstParagraph"/>
      </w:pPr>
      <w:r>
        <w:rPr>
          <w:bCs/>
          <w:b/>
        </w:rPr>
        <w:t xml:space="preserve">Materials</w:t>
      </w:r>
    </w:p>
    <w:p>
      <w:pPr>
        <w:pStyle w:val="BodyText"/>
      </w:pPr>
      <w:r>
        <w:t xml:space="preserve">All PCA reactions were performed with Pfu Polymerase (Bioneer, Daejeon, S. Korea) and PCR reactions used KOD polymerase (TOYBO, Osaka, Japan). All enzymatic reactions were performed using the Biometra TRobot II automated PCR cycler (Analytik Jena, Germany).</w:t>
      </w:r>
    </w:p>
    <w:p>
      <w:pPr>
        <w:pStyle w:val="BodyText"/>
      </w:pPr>
      <w:r>
        <w:rPr>
          <w:bCs/>
          <w:b/>
        </w:rPr>
        <w:t xml:space="preserve">Target DNA sequences and Oligomer Design</w:t>
      </w:r>
    </w:p>
    <w:p>
      <w:pPr>
        <w:pStyle w:val="BodyText"/>
      </w:pPr>
      <w:r>
        <w:t xml:space="preserve">The M13 bacteriophage (GenBank Accession No.: NC_003287.2) fragment used to test efficacy was obtained by basic splicing of the M13 bacteriophage genome into 520bp segments. The second fragment, i.e. 521-1041 bp, was used for this study. For all design methods, the target oligomer size was 50bp with an overlap of 20bp and an overlap Tm of 56 °C. While manually designing oligomers, the oligomer that fit the required criteria best was selected. This method is similar to the workflow of Dsembler, however, there were limited candidates to choose from, as designing such sequences was a laborious task. Twenty oligomers were designed by Dsembler, 18 by GeneDesign, and manually for the M13 bacteriophage fragment.</w:t>
      </w:r>
    </w:p>
    <w:p>
      <w:pPr>
        <w:pStyle w:val="BodyText"/>
      </w:pPr>
      <w:r>
        <w:t xml:space="preserve">The AurI gene was obtained from the Bacteroides thetaiotaomicron VPI-5482 strain (Genbank Accession No: AE015928). For DNAWorks, the annealing temperature was set to 62°C and the oligo length to 90nt. For Dsembler, parameters included a maximum oligomer length of 90nt, a maximum overlap length of 40bp, and a Tm for 5’/3’ overlap set at 58°C.</w:t>
      </w:r>
    </w:p>
    <w:p>
      <w:pPr>
        <w:pStyle w:val="BodyText"/>
      </w:pPr>
      <w:r>
        <w:rPr>
          <w:bCs/>
          <w:b/>
        </w:rPr>
        <w:t xml:space="preserve">M13 DNA Assembly</w:t>
      </w:r>
    </w:p>
    <w:p>
      <w:pPr>
        <w:pStyle w:val="BodyText"/>
      </w:pPr>
      <w:r>
        <w:t xml:space="preserve">The protocol used to compare the oligomers designed manually, and using GeneDesign and Dsembler were the same, and the assemblies were performed under the same conditions. Individual oligomers (Macrogen, S. Korea) were synthesized and pooled depending upon the respective design method. Then, a PCA reaction was performed on each of the oligomer pools. To amplify the yield and select the correct assembly, PCR was performed using the first and last oligomers as forward and reverse primers. The appropriate sequence was extracted using gel extraction, and the resulting sequences were cloned into a T-vector (Solgent, Daejeon, S. Korea) coupled with the lac operon (with kanamycin and ampicillin resistance genes) using Gibson Assembly (NEB, Ipswich, Massachusetts, USA).</w:t>
      </w:r>
      <w:r>
        <w:t xml:space="preserve"> </w:t>
      </w:r>
      <w:r>
        <w:rPr>
          <w:iCs/>
          <w:i/>
        </w:rPr>
        <w:t xml:space="preserve">E. coli</w:t>
      </w:r>
      <w:r>
        <w:t xml:space="preserve"> </w:t>
      </w:r>
      <w:r>
        <w:t xml:space="preserve">DH5α cells were transformed with the plasmid vector and incubated on an LB agar plate containing 50 mg/ml, 40mg/ml, 10mg/ml, 5mg/ml of IPTG (Duchefa Biochemie, Haarlem, Netherlands), X-gal (Bioneer, Daejeon, S. Korea), ampicillin, and kanamycin (Sigma-Aldrich, St. Louis, Missouri, USA) respectively, overnight. White colonies, that signified a successful Gibson Assembly, were randomly picked, and underwent a plasmid miniprep (Promega, Madison, Wisconsin, USA). The final DNA was sequenced using Sanger sequencing (Macrogen, S. Korea), and the obtained sequences were checked for errors.</w:t>
      </w:r>
    </w:p>
    <w:p>
      <w:pPr>
        <w:pStyle w:val="BodyText"/>
      </w:pPr>
      <w:r>
        <w:t xml:space="preserve">For each sequence, the insertions and deletions were counted and averaged across each design method to determine the number of errors per 520bp, which was then adjusted to errors/kbp. The number of colonies without any errors in the assembled sequences were also counted.</w:t>
      </w:r>
    </w:p>
    <w:p>
      <w:pPr>
        <w:pStyle w:val="BodyText"/>
      </w:pPr>
      <w:r>
        <w:rPr>
          <w:bCs/>
          <w:b/>
        </w:rPr>
        <w:t xml:space="preserve">AurI DNA Assembly</w:t>
      </w:r>
    </w:p>
    <w:p>
      <w:pPr>
        <w:pStyle w:val="BodyText"/>
      </w:pPr>
      <w:r>
        <w:t xml:space="preserve">All experiments were performed with the hardware available at K-biofoundry. The workflow involved designing with both tools, ordering oligo pools from Bioneer (S. Korea). Oligos were dissolved in TE buffer to a final concentration of 2 pmol/µl in a total volume of 500 µl using Janus G3 Liquid handler (Revvity, MA), which were stored in 384-well plate. The PCA mix was aliquoted into a 96-well PCR plate (BIORAD) and the oligo-pools were transferred using and Echo 525 (Beckman Coulter, IN) according to their respective final concentrations (2.5, 5, 25). The PCA reaction was run for ** at **</w:t>
      </w:r>
      <w:r>
        <w:rPr>
          <w:vertAlign w:val="superscript"/>
        </w:rPr>
        <w:t xml:space="preserve">o</w:t>
      </w:r>
      <w:r>
        <w:t xml:space="preserve">C. Primers that aligned to the end of the DNA assemblies were used to amplify the PCA products. 5ml of each the products were run through the fragment analyzer to observe the size and concentrations of the final assembly.</w:t>
      </w:r>
    </w:p>
    <w:bookmarkEnd w:id="123"/>
    <w:bookmarkEnd w:id="124"/>
    <w:bookmarkEnd w:id="125"/>
    <w:bookmarkStart w:id="129" w:name="conclusion"/>
    <w:p>
      <w:pPr>
        <w:pStyle w:val="Heading1"/>
      </w:pPr>
      <w:r>
        <w:t xml:space="preserve">Conclusion</w:t>
      </w:r>
    </w:p>
    <w:p>
      <w:pPr>
        <w:pStyle w:val="FirstParagraph"/>
      </w:pPr>
      <w:r>
        <w:t xml:space="preserve">Case study: Protein Engineering Stack</w:t>
      </w:r>
    </w:p>
    <w:p>
      <w:pPr>
        <w:pStyle w:val="BodyText"/>
      </w:pPr>
      <w:r>
        <w:drawing>
          <wp:inline>
            <wp:extent cx="5334000" cy="4768596"/>
            <wp:effectExtent b="0" l="0" r="0" t="0"/>
            <wp:docPr descr="" title="" id="127" name="Picture"/>
            <a:graphic>
              <a:graphicData uri="http://schemas.openxmlformats.org/drawingml/2006/picture">
                <pic:pic>
                  <pic:nvPicPr>
                    <pic:cNvPr descr="chapters/images/HiAPE.png" id="128" name="Picture"/>
                    <pic:cNvPicPr>
                      <a:picLocks noChangeArrowheads="1" noChangeAspect="1"/>
                    </pic:cNvPicPr>
                  </pic:nvPicPr>
                  <pic:blipFill>
                    <a:blip r:embed="rId126"/>
                    <a:stretch>
                      <a:fillRect/>
                    </a:stretch>
                  </pic:blipFill>
                  <pic:spPr bwMode="auto">
                    <a:xfrm>
                      <a:off x="0" y="0"/>
                      <a:ext cx="5334000" cy="4768596"/>
                    </a:xfrm>
                    <a:prstGeom prst="rect">
                      <a:avLst/>
                    </a:prstGeom>
                    <a:noFill/>
                    <a:ln w="9525">
                      <a:noFill/>
                      <a:headEnd/>
                      <a:tailEnd/>
                    </a:ln>
                  </pic:spPr>
                </pic:pic>
              </a:graphicData>
            </a:graphic>
          </wp:inline>
        </w:drawing>
      </w:r>
      <w:r>
        <w:t xml:space="preserve">This thesis focuses on the development of workflows and software tools with a focus on protein engineering.</w:t>
      </w:r>
    </w:p>
    <w:bookmarkEnd w:id="129"/>
    <w:bookmarkStart w:id="135" w:name="references-1"/>
    <w:p>
      <w:pPr>
        <w:pStyle w:val="Heading1"/>
      </w:pPr>
      <w:r>
        <w:t xml:space="preserve">References</w:t>
      </w:r>
    </w:p>
    <w:bookmarkStart w:id="134" w:name="refs"/>
    <w:bookmarkStart w:id="130" w:name="ref-torres2022automated"/>
    <w:p>
      <w:pPr>
        <w:pStyle w:val="Bibliography"/>
      </w:pPr>
      <w:r>
        <w:t xml:space="preserve">(1)</w:t>
      </w:r>
      <w:r>
        <w:t xml:space="preserve"> </w:t>
      </w:r>
      <w:r>
        <w:t xml:space="preserve">	</w:t>
      </w:r>
      <w:r>
        <w:t xml:space="preserve">Torres-Acosta, M. A.; Lye, G. J.; Dikicioglu, D. Automated Liquid-Handling Operations for Robust, Resilient, and Efficient Bio-Based Laboratory Practices.</w:t>
      </w:r>
      <w:r>
        <w:t xml:space="preserve"> </w:t>
      </w:r>
      <w:r>
        <w:rPr>
          <w:iCs/>
          <w:i/>
        </w:rPr>
        <w:t xml:space="preserve">Biochemical Engineering Journal</w:t>
      </w:r>
      <w:r>
        <w:t xml:space="preserve"> </w:t>
      </w:r>
      <w:r>
        <w:rPr>
          <w:bCs/>
          <w:b/>
        </w:rPr>
        <w:t xml:space="preserve">2022</w:t>
      </w:r>
      <w:r>
        <w:t xml:space="preserve">,</w:t>
      </w:r>
      <w:r>
        <w:t xml:space="preserve"> </w:t>
      </w:r>
      <w:r>
        <w:rPr>
          <w:iCs/>
          <w:i/>
        </w:rPr>
        <w:t xml:space="preserve">188</w:t>
      </w:r>
      <w:r>
        <w:t xml:space="preserve">, 108713.</w:t>
      </w:r>
    </w:p>
    <w:bookmarkEnd w:id="130"/>
    <w:bookmarkStart w:id="131" w:name="ref-henkel2007economics"/>
    <w:p>
      <w:pPr>
        <w:pStyle w:val="Bibliography"/>
      </w:pPr>
      <w:r>
        <w:t xml:space="preserve">(2)</w:t>
      </w:r>
      <w:r>
        <w:t xml:space="preserve"> </w:t>
      </w:r>
      <w:r>
        <w:t xml:space="preserve">	</w:t>
      </w:r>
      <w:r>
        <w:t xml:space="preserve">Henkel, J.; Maurer, S. M. The Economics of Synthetic Biology.</w:t>
      </w:r>
      <w:r>
        <w:t xml:space="preserve"> </w:t>
      </w:r>
      <w:r>
        <w:rPr>
          <w:iCs/>
          <w:i/>
        </w:rPr>
        <w:t xml:space="preserve">Molecular Systems Biology</w:t>
      </w:r>
      <w:r>
        <w:t xml:space="preserve"> </w:t>
      </w:r>
      <w:r>
        <w:rPr>
          <w:bCs/>
          <w:b/>
        </w:rPr>
        <w:t xml:space="preserve">2007</w:t>
      </w:r>
      <w:r>
        <w:t xml:space="preserve">,</w:t>
      </w:r>
      <w:r>
        <w:t xml:space="preserve"> </w:t>
      </w:r>
      <w:r>
        <w:rPr>
          <w:iCs/>
          <w:i/>
        </w:rPr>
        <w:t xml:space="preserve">3</w:t>
      </w:r>
      <w:r>
        <w:t xml:space="preserve"> </w:t>
      </w:r>
      <w:r>
        <w:t xml:space="preserve">(1), 117.</w:t>
      </w:r>
    </w:p>
    <w:bookmarkEnd w:id="131"/>
    <w:bookmarkStart w:id="132" w:name="ref-appleton2017design"/>
    <w:p>
      <w:pPr>
        <w:pStyle w:val="Bibliography"/>
      </w:pPr>
      <w:r>
        <w:t xml:space="preserve">(3)</w:t>
      </w:r>
      <w:r>
        <w:t xml:space="preserve"> </w:t>
      </w:r>
      <w:r>
        <w:t xml:space="preserve">	</w:t>
      </w:r>
      <w:r>
        <w:t xml:space="preserve">Appleton, E.; Madsen, C.; Roehner, N.; Densmore, D. Design Automation in Synthetic Biology.</w:t>
      </w:r>
      <w:r>
        <w:t xml:space="preserve"> </w:t>
      </w:r>
      <w:r>
        <w:rPr>
          <w:iCs/>
          <w:i/>
        </w:rPr>
        <w:t xml:space="preserve">Cold Spring Harbor perspectives in biology</w:t>
      </w:r>
      <w:r>
        <w:t xml:space="preserve"> </w:t>
      </w:r>
      <w:r>
        <w:rPr>
          <w:bCs/>
          <w:b/>
        </w:rPr>
        <w:t xml:space="preserve">2017</w:t>
      </w:r>
      <w:r>
        <w:t xml:space="preserve">,</w:t>
      </w:r>
      <w:r>
        <w:t xml:space="preserve"> </w:t>
      </w:r>
      <w:r>
        <w:rPr>
          <w:iCs/>
          <w:i/>
        </w:rPr>
        <w:t xml:space="preserve">9</w:t>
      </w:r>
      <w:r>
        <w:t xml:space="preserve"> </w:t>
      </w:r>
      <w:r>
        <w:t xml:space="preserve">(4), a023978.</w:t>
      </w:r>
    </w:p>
    <w:bookmarkEnd w:id="132"/>
    <w:bookmarkStart w:id="133" w:name="ref-appleton2017needs"/>
    <w:p>
      <w:pPr>
        <w:pStyle w:val="Bibliography"/>
      </w:pPr>
      <w:r>
        <w:t xml:space="preserve">(4)</w:t>
      </w:r>
      <w:r>
        <w:t xml:space="preserve"> </w:t>
      </w:r>
      <w:r>
        <w:t xml:space="preserve">	</w:t>
      </w:r>
      <w:r>
        <w:t xml:space="preserve">Appleton, E.; Densmore, D.; Madsen, C.; Roehner, N. Needs and Opportunities in Bio-Design Automation: Four Areas for Focus.</w:t>
      </w:r>
      <w:r>
        <w:t xml:space="preserve"> </w:t>
      </w:r>
      <w:r>
        <w:rPr>
          <w:iCs/>
          <w:i/>
        </w:rPr>
        <w:t xml:space="preserve">Current Opinion in Chemical Biology</w:t>
      </w:r>
      <w:r>
        <w:t xml:space="preserve"> </w:t>
      </w:r>
      <w:r>
        <w:rPr>
          <w:bCs/>
          <w:b/>
        </w:rPr>
        <w:t xml:space="preserve">2017</w:t>
      </w:r>
      <w:r>
        <w:t xml:space="preserve">,</w:t>
      </w:r>
      <w:r>
        <w:t xml:space="preserve"> </w:t>
      </w:r>
      <w:r>
        <w:rPr>
          <w:iCs/>
          <w:i/>
        </w:rPr>
        <w:t xml:space="preserve">40</w:t>
      </w:r>
      <w:r>
        <w:t xml:space="preserve">, 111–118.</w:t>
      </w:r>
    </w:p>
    <w:bookmarkEnd w:id="133"/>
    <w:bookmarkEnd w:id="134"/>
    <w:bookmarkEnd w:id="135"/>
    <w:bookmarkStart w:id="139" w:name="appendix"/>
    <w:p>
      <w:pPr>
        <w:pStyle w:val="Heading1"/>
      </w:pPr>
      <w:r>
        <w:t xml:space="preserve">Appendix</w:t>
      </w:r>
    </w:p>
    <w:p>
      <w:pPr>
        <w:pStyle w:val="CaptionedFigure"/>
      </w:pPr>
      <w:r>
        <w:drawing>
          <wp:inline>
            <wp:extent cx="5334000" cy="3002262"/>
            <wp:effectExtent b="0" l="0" r="0" t="0"/>
            <wp:docPr descr="A: Activity Bar showcasing the extensions installed locally. B: Primary Side Bar that displays the layout of files and Source code changes. C: Main window to edit markdown and jupyter notebook files. D: A Preview panel to view PDF and HTML files." title="" id="137" name="Picture"/>
            <a:graphic>
              <a:graphicData uri="http://schemas.openxmlformats.org/drawingml/2006/picture">
                <pic:pic>
                  <pic:nvPicPr>
                    <pic:cNvPr descr="chapters/images/VS_code.png" id="138" name="Picture"/>
                    <pic:cNvPicPr>
                      <a:picLocks noChangeArrowheads="1" noChangeAspect="1"/>
                    </pic:cNvPicPr>
                  </pic:nvPicPr>
                  <pic:blipFill>
                    <a:blip r:embed="rId136"/>
                    <a:stretch>
                      <a:fillRect/>
                    </a:stretch>
                  </pic:blipFill>
                  <pic:spPr bwMode="auto">
                    <a:xfrm>
                      <a:off x="0" y="0"/>
                      <a:ext cx="5334000" cy="3002262"/>
                    </a:xfrm>
                    <a:prstGeom prst="rect">
                      <a:avLst/>
                    </a:prstGeom>
                    <a:noFill/>
                    <a:ln w="9525">
                      <a:noFill/>
                      <a:headEnd/>
                      <a:tailEnd/>
                    </a:ln>
                  </pic:spPr>
                </pic:pic>
              </a:graphicData>
            </a:graphic>
          </wp:inline>
        </w:drawing>
      </w:r>
    </w:p>
    <w:p>
      <w:pPr>
        <w:pStyle w:val="ImageCaption"/>
      </w:pPr>
      <w:r>
        <w:t xml:space="preserve">A: Activity Bar showcasing the extensions installed locally. B: Primary Side Bar that displays the layout of files and Source code changes. C: Main window to edit markdown and jupyter notebook files. D: A Preview panel to view PDF and HTML files.</w:t>
      </w:r>
    </w:p>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36" Target="media/rId36.png" /><Relationship Type="http://schemas.openxmlformats.org/officeDocument/2006/relationships/image" Id="rId46" Target="media/rId46.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hyperlink" Id="rId116" Target="http://223.130.146.86:8088/" TargetMode="External" /><Relationship Type="http://schemas.openxmlformats.org/officeDocument/2006/relationships/hyperlink" Id="rId59" Target="https://facsvisualization.streamlit.app/" TargetMode="External" /><Relationship Type="http://schemas.openxmlformats.org/officeDocument/2006/relationships/hyperlink" Id="rId71" Target="https://github.com/ImperialCollegeLondon/2020-07-13-Containers-Online/blob/gh-pages/CITATION" TargetMode="External" /><Relationship Type="http://schemas.openxmlformats.org/officeDocument/2006/relationships/hyperlink" Id="rId44" Target="https://github.com/aputron/streamlitapps/tree/main" TargetMode="External" /><Relationship Type="http://schemas.openxmlformats.org/officeDocument/2006/relationships/hyperlink" Id="rId72" Target="https://github.com/keller-mark/awesome-biological-visualizations" TargetMode="External" /><Relationship Type="http://schemas.openxmlformats.org/officeDocument/2006/relationships/hyperlink" Id="rId39" Target="https://insilicomutantlib.streamlit.app/" TargetMode="External" /><Relationship Type="http://schemas.openxmlformats.org/officeDocument/2006/relationships/hyperlink" Id="rId61" Target="https://libraryanalysis.streamlit.app/" TargetMode="External" /><Relationship Type="http://schemas.openxmlformats.org/officeDocument/2006/relationships/hyperlink" Id="rId41" Target="https://mutprimergen.streamlit.app/" TargetMode="External" /><Relationship Type="http://schemas.openxmlformats.org/officeDocument/2006/relationships/hyperlink" Id="rId69" Target="https://www.cowen.com/transactions/amyris-inc-6-4-2020/" TargetMode="External" /><Relationship Type="http://schemas.openxmlformats.org/officeDocument/2006/relationships/hyperlink" Id="rId70" Target="https://www.idtdna.com/pages/community/blog/post/thinking-about-making-the-switch-to-an-electronic-lab-notebook-here-are-some-pros-and-cons" TargetMode="External" /></Relationships>
</file>

<file path=word/_rels/footnotes.xml.rels><?xml version="1.0" encoding="UTF-8"?><Relationships xmlns="http://schemas.openxmlformats.org/package/2006/relationships"><Relationship Type="http://schemas.openxmlformats.org/officeDocument/2006/relationships/hyperlink" Id="rId116" Target="http://223.130.146.86:8088/" TargetMode="External" /><Relationship Type="http://schemas.openxmlformats.org/officeDocument/2006/relationships/hyperlink" Id="rId59" Target="https://facsvisualization.streamlit.app/" TargetMode="External" /><Relationship Type="http://schemas.openxmlformats.org/officeDocument/2006/relationships/hyperlink" Id="rId71" Target="https://github.com/ImperialCollegeLondon/2020-07-13-Containers-Online/blob/gh-pages/CITATION" TargetMode="External" /><Relationship Type="http://schemas.openxmlformats.org/officeDocument/2006/relationships/hyperlink" Id="rId44" Target="https://github.com/aputron/streamlitapps/tree/main" TargetMode="External" /><Relationship Type="http://schemas.openxmlformats.org/officeDocument/2006/relationships/hyperlink" Id="rId72" Target="https://github.com/keller-mark/awesome-biological-visualizations" TargetMode="External" /><Relationship Type="http://schemas.openxmlformats.org/officeDocument/2006/relationships/hyperlink" Id="rId39" Target="https://insilicomutantlib.streamlit.app/" TargetMode="External" /><Relationship Type="http://schemas.openxmlformats.org/officeDocument/2006/relationships/hyperlink" Id="rId61" Target="https://libraryanalysis.streamlit.app/" TargetMode="External" /><Relationship Type="http://schemas.openxmlformats.org/officeDocument/2006/relationships/hyperlink" Id="rId41" Target="https://mutprimergen.streamlit.app/" TargetMode="External" /><Relationship Type="http://schemas.openxmlformats.org/officeDocument/2006/relationships/hyperlink" Id="rId69" Target="https://www.cowen.com/transactions/amyris-inc-6-4-2020/" TargetMode="External" /><Relationship Type="http://schemas.openxmlformats.org/officeDocument/2006/relationships/hyperlink" Id="rId70" Target="https://www.idtdna.com/pages/community/blog/post/thinking-about-making-the-switch-to-an-electronic-lab-notebook-here-are-some-pros-and-c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2024-11-03T18:40:32Z</dcterms:created>
  <dcterms:modified xsi:type="dcterms:W3CDTF">2024-11-03T18:40:32Z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american-chemical-society.csl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seudocode">
    <vt:lpwstr/>
  </property>
  <property fmtid="{D5CDD505-2E9C-101B-9397-08002B2CF9AE}" pid="14" name="template-partials">
    <vt:lpwstr/>
  </property>
  <property fmtid="{D5CDD505-2E9C-101B-9397-08002B2CF9AE}" pid="15" name="toc-title">
    <vt:lpwstr>Table of contents</vt:lpwstr>
  </property>
</Properties>
</file>