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Cold Start Safe Assumptions Specification</w:t>
      </w:r>
    </w:p>
    <w:p>
      <w:pPr>
        <w:jc w:val="center"/>
      </w:pPr>
      <w:r>
        <w:rPr>
          <w:b/>
          <w:sz w:val="22"/>
        </w:rPr>
        <w:t>DOC-20 | Version 1.0 | Meal Planning RE Technical Docs v1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691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Document ID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DOC-20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Canonical file name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DOC-20_Cold_Start_Safe_Assumptions_v1.0.docx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Applicable build IDs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BUILD-02, BUILD-03, BUILD-04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Purpose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Defines fallback logic when users provide minimal onboarding information, skip questions, or have sparse history. The goal is to still generate a safe, familiar, high-acceptance first-week class plan.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Primary source data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Indian_Meal_Cohort_Persona_DB_v3.xlsx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Source workbook sheets used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State_Profile_v3, Cohort_Matrix_v3, Weekly_Class_Plan_v3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Dependencies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DOC-03, DOC-09, DOC-12, DOC-13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Audience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Claude / AI coding agent, product owner, backend developer, data operations, QA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Non-negotiable rule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Generate meal classes first; expand to dishes second; attach member add-ons separately.</w:t>
            </w:r>
          </w:p>
        </w:tc>
      </w:tr>
    </w:tbl>
    <w:p/>
    <w:p>
      <w:pPr>
        <w:pStyle w:val="Heading1"/>
      </w:pPr>
      <w:r>
        <w:t>1. Purpose and Scope</w:t>
      </w:r>
    </w:p>
    <w:p>
      <w:r>
        <w:t>Defines fallback logic when users provide minimal onboarding information, skip questions, or have sparse history. The goal is to still generate a safe, familiar, high-acceptance first-week class plan.</w:t>
      </w:r>
    </w:p>
    <w:p>
      <w:r>
        <w:t>This document is part of the canonical 28-document technical system. It should be read in the order defined in DOC-00. It is written for an AI coding agent that must implement the agreed recommendation engine exactly, without inventing a competing architecture.</w:t>
      </w:r>
    </w:p>
    <w:p>
      <w:pPr>
        <w:pStyle w:val="Heading1"/>
      </w:pPr>
      <w:r>
        <w:t>2. Applicable Build Series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44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Build ID</w:t>
            </w:r>
          </w:p>
        </w:tc>
        <w:tc>
          <w:tcPr>
            <w:tcW w:type="dxa" w:w="2736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Build name</w:t>
            </w:r>
          </w:p>
        </w:tc>
        <w:tc>
          <w:tcPr>
            <w:tcW w:type="dxa" w:w="547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Implementation meaning</w:t>
            </w:r>
          </w:p>
        </w:tc>
      </w:tr>
      <w:tr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BUILD-02</w:t>
            </w:r>
          </w:p>
        </w:tc>
        <w:tc>
          <w:tcPr>
            <w:tcW w:type="dxa" w:w="273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Onboarding and Household Profile Builder</w:t>
            </w:r>
          </w:p>
        </w:tc>
        <w:tc>
          <w:tcPr>
            <w:tcW w:type="dxa" w:w="54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Build dynamic onboarding, household/member capture, diet and city inputs, and profile object.</w:t>
            </w:r>
          </w:p>
        </w:tc>
      </w:tr>
      <w:tr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BUILD-03</w:t>
            </w:r>
          </w:p>
        </w:tc>
        <w:tc>
          <w:tcPr>
            <w:tcW w:type="dxa" w:w="273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Cohort Persona Assignment</w:t>
            </w:r>
          </w:p>
        </w:tc>
        <w:tc>
          <w:tcPr>
            <w:tcW w:type="dxa" w:w="54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Map profile answers to main cohort, sub-cohort, backend persona, state/city overlay, non-veg mode, and confidence.</w:t>
            </w:r>
          </w:p>
        </w:tc>
      </w:tr>
      <w:tr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BUILD-04</w:t>
            </w:r>
          </w:p>
        </w:tc>
        <w:tc>
          <w:tcPr>
            <w:tcW w:type="dxa" w:w="273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Weekly Class-First Plan Engine</w:t>
            </w:r>
          </w:p>
        </w:tc>
        <w:tc>
          <w:tcPr>
            <w:tcW w:type="dxa" w:w="54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Generate 7-day meal-class plan from cohort matrix, regional rules, city overlay, weekday/weekend rhythm, variety rules.</w:t>
            </w:r>
          </w:p>
        </w:tc>
      </w:tr>
    </w:tbl>
    <w:p/>
    <w:p>
      <w:pPr>
        <w:pStyle w:val="Heading1"/>
      </w:pPr>
      <w:r>
        <w:t>3. Core Implementation Invariants</w:t>
      </w:r>
    </w:p>
    <w:p>
      <w:pPr>
        <w:pStyle w:val="ListBullet"/>
      </w:pPr>
      <w:r>
        <w:t>Always build a household profile before generating any plan.</w:t>
      </w:r>
    </w:p>
    <w:p>
      <w:pPr>
        <w:pStyle w:val="ListBullet"/>
      </w:pPr>
      <w:r>
        <w:t>Always map user-facing cohort answers into backend personas and overlays; do not expose all backend personas in onboarding.</w:t>
      </w:r>
    </w:p>
    <w:p>
      <w:pPr>
        <w:pStyle w:val="ListBullet"/>
      </w:pPr>
      <w:r>
        <w:t>Always generate a 7-day class-first plan before selecting dishes.</w:t>
      </w:r>
    </w:p>
    <w:p>
      <w:pPr>
        <w:pStyle w:val="ListBullet"/>
      </w:pPr>
      <w:r>
        <w:t>Always keep primary family meal classes separate from member-specific add-on components.</w:t>
      </w:r>
    </w:p>
    <w:p>
      <w:pPr>
        <w:pStyle w:val="ListBullet"/>
      </w:pPr>
      <w:r>
        <w:t>Never allow kid, elderly, pregnancy, postpartum, diabetic, or recovery add-on classes to replace the main family meal unless the household itself has only that member segment.</w:t>
      </w:r>
    </w:p>
    <w:p>
      <w:pPr>
        <w:pStyle w:val="ListBullet"/>
      </w:pPr>
      <w:r>
        <w:t>Always apply hard constraints before scoring: diet type, allergies, Jain/fasting rules, and Never list.</w:t>
      </w:r>
    </w:p>
    <w:p>
      <w:pPr>
        <w:pStyle w:val="ListBullet"/>
      </w:pPr>
      <w:r>
        <w:t>Always use home state and current city as separate signals; do not collapse them into one location field.</w:t>
      </w:r>
    </w:p>
    <w:p>
      <w:pPr>
        <w:pStyle w:val="ListBullet"/>
      </w:pPr>
      <w:r>
        <w:t>Always use class-to-dish mapping keyed by meal_class_code; never mix dishes from unrelated meal classes.</w:t>
      </w:r>
    </w:p>
    <w:p>
      <w:pPr>
        <w:pStyle w:val="ListBullet"/>
      </w:pPr>
      <w:r>
        <w:t>Use v3 workbook IDs as canonical seed IDs unless a later approved source-data version supersedes them.</w:t>
      </w:r>
    </w:p>
    <w:p>
      <w:pPr>
        <w:pStyle w:val="Heading1"/>
      </w:pPr>
      <w:r>
        <w:t>4. Cold Start Philosophy</w:t>
      </w:r>
    </w:p>
    <w:p>
      <w:r>
        <w:t>A skipped onboarding answer should reduce confidence, not block planning. Use state, main cohort, diet, city tier, and default household assumptions to produce a familiar class-first plan. Keep first recommendations conservative and behaviorally common.</w:t>
      </w:r>
    </w:p>
    <w:p>
      <w:pPr>
        <w:pStyle w:val="Heading1"/>
      </w:pPr>
      <w:r>
        <w:t>5. Fallback Priority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024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Available data</w:t>
            </w:r>
          </w:p>
        </w:tc>
        <w:tc>
          <w:tcPr>
            <w:tcW w:type="dxa" w:w="648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Fallback action</w:t>
            </w:r>
          </w:p>
        </w:tc>
      </w:tr>
      <w:tr>
        <w:tc>
          <w:tcPr>
            <w:tcW w:type="dxa" w:w="302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State + diet + main cohort</w:t>
            </w:r>
          </w:p>
        </w:tc>
        <w:tc>
          <w:tcPr>
            <w:tcW w:type="dxa" w:w="64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Use state/main-cohort default matrix.</w:t>
            </w:r>
          </w:p>
        </w:tc>
      </w:tr>
      <w:tr>
        <w:tc>
          <w:tcPr>
            <w:tcW w:type="dxa" w:w="302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State only</w:t>
            </w:r>
          </w:p>
        </w:tc>
        <w:tc>
          <w:tcPr>
            <w:tcW w:type="dxa" w:w="64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Use general state staple and default family/solo based on app context.</w:t>
            </w:r>
          </w:p>
        </w:tc>
      </w:tr>
      <w:tr>
        <w:tc>
          <w:tcPr>
            <w:tcW w:type="dxa" w:w="302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Current city only</w:t>
            </w:r>
          </w:p>
        </w:tc>
        <w:tc>
          <w:tcPr>
            <w:tcW w:type="dxa" w:w="64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Use city tier national modern baseline with safe light/common classes.</w:t>
            </w:r>
          </w:p>
        </w:tc>
      </w:tr>
      <w:tr>
        <w:tc>
          <w:tcPr>
            <w:tcW w:type="dxa" w:w="302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No location</w:t>
            </w:r>
          </w:p>
        </w:tc>
        <w:tc>
          <w:tcPr>
            <w:tcW w:type="dxa" w:w="64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Use national urban safe default: light breakfast, dal/sabzi/rice/roti, simple dinner.</w:t>
            </w:r>
          </w:p>
        </w:tc>
      </w:tr>
      <w:tr>
        <w:tc>
          <w:tcPr>
            <w:tcW w:type="dxa" w:w="302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Diet missing</w:t>
            </w:r>
          </w:p>
        </w:tc>
        <w:tc>
          <w:tcPr>
            <w:tcW w:type="dxa" w:w="64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Ask diet as mandatory before dish expansion.</w:t>
            </w:r>
          </w:p>
        </w:tc>
      </w:tr>
      <w:tr>
        <w:tc>
          <w:tcPr>
            <w:tcW w:type="dxa" w:w="302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Allergy missing</w:t>
            </w:r>
          </w:p>
        </w:tc>
        <w:tc>
          <w:tcPr>
            <w:tcW w:type="dxa" w:w="64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Allow skip but provide profile reminder; do not infer allergies.</w:t>
            </w:r>
          </w:p>
        </w:tc>
      </w:tr>
    </w:tbl>
    <w:p/>
    <w:p>
      <w:pPr>
        <w:pStyle w:val="Heading1"/>
      </w:pPr>
      <w:r>
        <w:t>6. Safe Default Classes</w:t>
      </w:r>
    </w:p>
    <w:p>
      <w:pPr>
        <w:pStyle w:val="ListBullet"/>
      </w:pPr>
      <w:r>
        <w:t>BF_LIGHT_GRAIN or equivalent light breakfast class</w:t>
      </w:r>
    </w:p>
    <w:p>
      <w:pPr>
        <w:pStyle w:val="ListBullet"/>
      </w:pPr>
      <w:r>
        <w:t>Lunch dal-sabzi-roti/rice class</w:t>
      </w:r>
    </w:p>
    <w:p>
      <w:pPr>
        <w:pStyle w:val="ListBullet"/>
      </w:pPr>
      <w:r>
        <w:t>Simple green vegetable sabzi class</w:t>
      </w:r>
    </w:p>
    <w:p>
      <w:pPr>
        <w:pStyle w:val="ListBullet"/>
      </w:pPr>
      <w:r>
        <w:t>Light khichdi/curd/dal-rice dinner class</w:t>
      </w:r>
    </w:p>
    <w:p>
      <w:pPr>
        <w:pStyle w:val="ListBullet"/>
      </w:pPr>
      <w:r>
        <w:t>Weekend regional special only when state/cohort supports it</w:t>
      </w:r>
    </w:p>
    <w:p>
      <w:pPr>
        <w:pStyle w:val="Heading1"/>
      </w:pPr>
      <w:r>
        <w:t>7. Confidence Score Use</w:t>
      </w:r>
    </w:p>
    <w:p>
      <w:r>
        <w:t>Every generated plan should include an internal confidence score. Low-confidence users should receive more familiar defaults and more opportunities to swipe/adjust. High-confidence users can receive more specific regional and persona-tailored plans.</w:t>
      </w:r>
    </w:p>
    <w:p>
      <w:pPr>
        <w:pStyle w:val="Heading1"/>
      </w:pPr>
      <w:r>
        <w:t>8.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448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Known inputs</w:t>
            </w:r>
          </w:p>
        </w:tc>
        <w:tc>
          <w:tcPr>
            <w:tcW w:type="dxa" w:w="3456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Assumption</w:t>
            </w:r>
          </w:p>
        </w:tc>
        <w:tc>
          <w:tcPr>
            <w:tcW w:type="dxa" w:w="432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Plan style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Gujarat + veg + family</w:t>
            </w:r>
          </w:p>
        </w:tc>
        <w:tc>
          <w:tcPr>
            <w:tcW w:type="dxa" w:w="345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Gujarati veg family baseline.</w:t>
            </w:r>
          </w:p>
        </w:tc>
        <w:tc>
          <w:tcPr>
            <w:tcW w:type="dxa" w:w="432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Dal-sabzi-roti, khichdi-kadhi, farsan/snack, weekend regional special.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Kerala + non-veg allowed</w:t>
            </w:r>
          </w:p>
        </w:tc>
        <w:tc>
          <w:tcPr>
            <w:tcW w:type="dxa" w:w="345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Coastal non-veg possible.</w:t>
            </w:r>
          </w:p>
        </w:tc>
        <w:tc>
          <w:tcPr>
            <w:tcW w:type="dxa" w:w="432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Rice, fish curry if allowed, dosa/idli/appam, light dinner.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MP + Mumbai + family</w:t>
            </w:r>
          </w:p>
        </w:tc>
        <w:tc>
          <w:tcPr>
            <w:tcW w:type="dxa" w:w="345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MP home-style plus Mumbai quick/healthy overlay.</w:t>
            </w:r>
          </w:p>
        </w:tc>
        <w:tc>
          <w:tcPr>
            <w:tcW w:type="dxa" w:w="432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Poha/upma/paratha rotation, dal-sabzi, light dinner, weekend special.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Unknown state + vegetarian</w:t>
            </w:r>
          </w:p>
        </w:tc>
        <w:tc>
          <w:tcPr>
            <w:tcW w:type="dxa" w:w="345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National urban safe baseline.</w:t>
            </w:r>
          </w:p>
        </w:tc>
        <w:tc>
          <w:tcPr>
            <w:tcW w:type="dxa" w:w="432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Common vegetarian class mix.</w:t>
            </w:r>
          </w:p>
        </w:tc>
      </w:tr>
    </w:tbl>
    <w:p/>
    <w:p>
      <w:pPr>
        <w:pStyle w:val="Heading1"/>
      </w:pPr>
      <w:r>
        <w:t>9. AI Coding Agent Instructions</w:t>
      </w:r>
    </w:p>
    <w:p>
      <w:pPr>
        <w:pStyle w:val="ListBullet"/>
      </w:pPr>
      <w:r>
        <w:t>Read DOC-00 first to understand build sequence and document dependencies.</w:t>
      </w:r>
    </w:p>
    <w:p>
      <w:pPr>
        <w:pStyle w:val="ListBullet"/>
      </w:pPr>
      <w:r>
        <w:t>Use this document when implementing: BUILD-02, BUILD-03, BUILD-04.</w:t>
      </w:r>
    </w:p>
    <w:p>
      <w:pPr>
        <w:pStyle w:val="ListBullet"/>
      </w:pPr>
      <w:r>
        <w:t>Treat all IDs in source workbook v3 as canonical seed data identifiers.</w:t>
      </w:r>
    </w:p>
    <w:p>
      <w:pPr>
        <w:pStyle w:val="ListBullet"/>
      </w:pPr>
      <w:r>
        <w:t>When logic and data conflict, follow the rule hierarchy: hard constraints &gt; add-on separation &gt; weekly class matrix &gt; state/city overlay &gt; dish scoring &gt; randomization.</w:t>
      </w:r>
    </w:p>
    <w:p>
      <w:pPr>
        <w:pStyle w:val="ListBullet"/>
      </w:pPr>
      <w:r>
        <w:t>Do not create new meal class codes, persona codes, or enum values in application code. Additions must go through DOC-27 Admin CMS and DOC-28 governance.</w:t>
      </w:r>
    </w:p>
    <w:p>
      <w:pPr>
        <w:pStyle w:val="ListBullet"/>
      </w:pPr>
      <w:r>
        <w:t>Write unit tests based on the acceptance criteria in this document and DOC-25.</w:t>
      </w:r>
    </w:p>
    <w:p>
      <w:pPr>
        <w:pStyle w:val="Heading1"/>
      </w:pPr>
      <w:r>
        <w:t>10. Acceptance Criteria</w:t>
      </w:r>
    </w:p>
    <w:p>
      <w:pPr>
        <w:pStyle w:val="ListBullet"/>
      </w:pPr>
      <w:r>
        <w:t>Minimal onboarding still yields a valid weekly class plan.</w:t>
      </w:r>
    </w:p>
    <w:p>
      <w:pPr>
        <w:pStyle w:val="ListBullet"/>
      </w:pPr>
      <w:r>
        <w:t>Low-confidence assumptions are conservative and easy to correct through swipes.</w:t>
      </w:r>
    </w:p>
    <w:p>
      <w:pPr>
        <w:pStyle w:val="ListBullet"/>
      </w:pPr>
      <w:r>
        <w:t>Diet hard constraints are not guessed.</w:t>
      </w:r>
    </w:p>
    <w:p>
      <w:pPr>
        <w:pStyle w:val="Heading1"/>
      </w:pPr>
      <w:r>
        <w:t>11. Change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15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144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547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Change</w:t>
            </w:r>
          </w:p>
        </w:tc>
        <w:tc>
          <w:tcPr>
            <w:tcW w:type="dxa" w:w="144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Author</w:t>
            </w:r>
          </w:p>
        </w:tc>
      </w:tr>
      <w:tr>
        <w:tc>
          <w:tcPr>
            <w:tcW w:type="dxa" w:w="115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1.0</w:t>
            </w:r>
          </w:p>
        </w:tc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2026-06-13</w:t>
            </w:r>
          </w:p>
        </w:tc>
        <w:tc>
          <w:tcPr>
            <w:tcW w:type="dxa" w:w="54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Initial canonical technical document generated from agreed v3 workbook and documentation architecture.</w:t>
            </w:r>
          </w:p>
        </w:tc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ChatGPT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DOC-20 | Meal Planning RE Technical Docs v1.0 | Confidential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