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04F" w:rsidRPr="006055E4" w:rsidRDefault="00CA0FFF" w:rsidP="000C504F">
      <w:pPr>
        <w:jc w:val="center"/>
        <w:rPr>
          <w:rFonts w:ascii="Trebuchet MS" w:hAnsi="Trebuchet MS"/>
          <w:b/>
          <w:color w:val="00B050"/>
          <w:sz w:val="28"/>
          <w:szCs w:val="28"/>
        </w:rPr>
      </w:pPr>
      <w:r w:rsidRPr="006055E4">
        <w:rPr>
          <w:rFonts w:ascii="Trebuchet MS" w:hAnsi="Trebuchet MS"/>
          <w:b/>
          <w:sz w:val="28"/>
          <w:szCs w:val="28"/>
        </w:rPr>
        <w:t>Le</w:t>
      </w:r>
      <w:r w:rsidRPr="006055E4">
        <w:rPr>
          <w:rFonts w:ascii="Trebuchet MS" w:hAnsi="Trebuchet MS"/>
          <w:b/>
          <w:color w:val="00B050"/>
          <w:sz w:val="28"/>
          <w:szCs w:val="28"/>
        </w:rPr>
        <w:t xml:space="preserve"> </w:t>
      </w:r>
      <w:proofErr w:type="spellStart"/>
      <w:r w:rsidRPr="006055E4">
        <w:rPr>
          <w:rFonts w:ascii="Trebuchet MS" w:hAnsi="Trebuchet MS"/>
          <w:b/>
          <w:i/>
          <w:sz w:val="28"/>
          <w:szCs w:val="28"/>
        </w:rPr>
        <w:t>Come</w:t>
      </w:r>
      <w:r w:rsidRPr="006055E4">
        <w:rPr>
          <w:rFonts w:ascii="Trebuchet MS" w:hAnsi="Trebuchet MS"/>
          <w:b/>
          <w:i/>
          <w:color w:val="00B050"/>
          <w:sz w:val="28"/>
          <w:szCs w:val="28"/>
        </w:rPr>
        <w:t>t</w:t>
      </w:r>
      <w:proofErr w:type="spellEnd"/>
      <w:r w:rsidRPr="006055E4">
        <w:rPr>
          <w:rFonts w:ascii="Trebuchet MS" w:hAnsi="Trebuchet MS" w:cstheme="minorHAnsi"/>
          <w:b/>
          <w:sz w:val="28"/>
          <w:szCs w:val="28"/>
          <w:vertAlign w:val="superscript"/>
        </w:rPr>
        <w:t>©</w:t>
      </w:r>
      <w:r w:rsidRPr="006055E4">
        <w:rPr>
          <w:rFonts w:ascii="Trebuchet MS" w:hAnsi="Trebuchet MS" w:cstheme="minorHAnsi"/>
          <w:b/>
          <w:sz w:val="28"/>
          <w:szCs w:val="28"/>
          <w:vertAlign w:val="superscript"/>
        </w:rPr>
        <w:t xml:space="preserve">   </w:t>
      </w:r>
      <w:r w:rsidRPr="006055E4">
        <w:rPr>
          <w:rFonts w:ascii="Trebuchet MS" w:hAnsi="Trebuchet MS" w:cstheme="minorHAnsi"/>
          <w:b/>
          <w:sz w:val="28"/>
          <w:szCs w:val="28"/>
        </w:rPr>
        <w:t xml:space="preserve">: </w:t>
      </w:r>
      <w:r w:rsidRPr="006055E4">
        <w:rPr>
          <w:rFonts w:ascii="Trebuchet MS" w:hAnsi="Trebuchet MS"/>
          <w:b/>
          <w:sz w:val="28"/>
          <w:szCs w:val="28"/>
        </w:rPr>
        <w:t>D</w:t>
      </w:r>
      <w:r w:rsidR="000C504F" w:rsidRPr="006055E4">
        <w:rPr>
          <w:rFonts w:ascii="Trebuchet MS" w:hAnsi="Trebuchet MS"/>
          <w:b/>
          <w:sz w:val="28"/>
          <w:szCs w:val="28"/>
        </w:rPr>
        <w:t>ictionnaire des médicaments en Tunisie</w:t>
      </w:r>
      <w:r w:rsidRPr="006055E4">
        <w:rPr>
          <w:rFonts w:ascii="Trebuchet MS" w:hAnsi="Trebuchet MS"/>
          <w:b/>
          <w:sz w:val="28"/>
          <w:szCs w:val="28"/>
        </w:rPr>
        <w:t xml:space="preserve">  </w:t>
      </w:r>
    </w:p>
    <w:p w:rsidR="000C504F" w:rsidRPr="006055E4" w:rsidRDefault="000C504F" w:rsidP="000C504F">
      <w:pPr>
        <w:ind w:firstLine="708"/>
        <w:jc w:val="both"/>
        <w:rPr>
          <w:rFonts w:ascii="Trebuchet MS" w:hAnsi="Trebuchet MS"/>
          <w:sz w:val="24"/>
          <w:szCs w:val="24"/>
        </w:rPr>
      </w:pPr>
      <w:r w:rsidRPr="006055E4">
        <w:rPr>
          <w:rFonts w:ascii="Trebuchet MS" w:hAnsi="Trebuchet MS"/>
          <w:sz w:val="24"/>
          <w:szCs w:val="24"/>
        </w:rPr>
        <w:t>Le Compendium des Médicaments en Tunisie (</w:t>
      </w:r>
      <w:proofErr w:type="spellStart"/>
      <w:r w:rsidRPr="006055E4">
        <w:rPr>
          <w:rFonts w:ascii="Trebuchet MS" w:hAnsi="Trebuchet MS"/>
          <w:b/>
          <w:i/>
          <w:sz w:val="24"/>
          <w:szCs w:val="24"/>
        </w:rPr>
        <w:t>Come</w:t>
      </w:r>
      <w:r w:rsidRPr="006055E4">
        <w:rPr>
          <w:rFonts w:ascii="Trebuchet MS" w:hAnsi="Trebuchet MS"/>
          <w:b/>
          <w:i/>
          <w:color w:val="00B050"/>
          <w:sz w:val="24"/>
          <w:szCs w:val="24"/>
        </w:rPr>
        <w:t>t</w:t>
      </w:r>
      <w:proofErr w:type="spellEnd"/>
      <w:r w:rsidRPr="006055E4">
        <w:rPr>
          <w:rFonts w:ascii="Trebuchet MS" w:hAnsi="Trebuchet MS" w:cstheme="minorHAnsi"/>
          <w:sz w:val="24"/>
          <w:szCs w:val="24"/>
          <w:vertAlign w:val="superscript"/>
        </w:rPr>
        <w:t>©</w:t>
      </w:r>
      <w:r w:rsidRPr="006055E4">
        <w:rPr>
          <w:rFonts w:ascii="Trebuchet MS" w:hAnsi="Trebuchet MS"/>
          <w:sz w:val="24"/>
          <w:szCs w:val="24"/>
        </w:rPr>
        <w:t xml:space="preserve">), est le résultat d’un travail méticuleux </w:t>
      </w:r>
      <w:bookmarkStart w:id="0" w:name="_GoBack"/>
      <w:bookmarkEnd w:id="0"/>
      <w:r w:rsidRPr="006055E4">
        <w:rPr>
          <w:rFonts w:ascii="Trebuchet MS" w:hAnsi="Trebuchet MS"/>
          <w:sz w:val="24"/>
          <w:szCs w:val="24"/>
        </w:rPr>
        <w:t xml:space="preserve">et de longue </w:t>
      </w:r>
      <w:r w:rsidR="00CA0FFF" w:rsidRPr="006055E4">
        <w:rPr>
          <w:rFonts w:ascii="Trebuchet MS" w:hAnsi="Trebuchet MS"/>
          <w:sz w:val="24"/>
          <w:szCs w:val="24"/>
        </w:rPr>
        <w:t>haleine qui</w:t>
      </w:r>
      <w:r w:rsidRPr="006055E4">
        <w:rPr>
          <w:rFonts w:ascii="Trebuchet MS" w:hAnsi="Trebuchet MS"/>
          <w:sz w:val="24"/>
          <w:szCs w:val="24"/>
        </w:rPr>
        <w:t xml:space="preserve"> a mobilisé une équipe pluridisciplinaire pendant plusieurs années, sous la supervision du </w:t>
      </w:r>
      <w:r w:rsidRPr="006055E4">
        <w:rPr>
          <w:rFonts w:ascii="Trebuchet MS" w:hAnsi="Trebuchet MS"/>
          <w:b/>
          <w:sz w:val="24"/>
          <w:szCs w:val="24"/>
        </w:rPr>
        <w:t>Professeur</w:t>
      </w:r>
      <w:r w:rsidRPr="006055E4">
        <w:rPr>
          <w:rFonts w:ascii="Trebuchet MS" w:hAnsi="Trebuchet MS"/>
          <w:sz w:val="24"/>
          <w:szCs w:val="24"/>
        </w:rPr>
        <w:t xml:space="preserve"> </w:t>
      </w:r>
      <w:r w:rsidRPr="006055E4">
        <w:rPr>
          <w:rFonts w:ascii="Trebuchet MS" w:hAnsi="Trebuchet MS"/>
          <w:b/>
          <w:sz w:val="24"/>
          <w:szCs w:val="24"/>
        </w:rPr>
        <w:t xml:space="preserve">Mohamed </w:t>
      </w:r>
      <w:proofErr w:type="spellStart"/>
      <w:r w:rsidRPr="006055E4">
        <w:rPr>
          <w:rFonts w:ascii="Trebuchet MS" w:hAnsi="Trebuchet MS"/>
          <w:b/>
          <w:sz w:val="24"/>
          <w:szCs w:val="24"/>
        </w:rPr>
        <w:t>Lakhal</w:t>
      </w:r>
      <w:proofErr w:type="spellEnd"/>
      <w:r w:rsidRPr="006055E4">
        <w:rPr>
          <w:rFonts w:ascii="Trebuchet MS" w:hAnsi="Trebuchet MS"/>
          <w:sz w:val="24"/>
          <w:szCs w:val="24"/>
        </w:rPr>
        <w:t xml:space="preserve"> Professeur en Pharmacologie et </w:t>
      </w:r>
      <w:r w:rsidR="00CA0FFF" w:rsidRPr="006055E4">
        <w:rPr>
          <w:rFonts w:ascii="Trebuchet MS" w:hAnsi="Trebuchet MS"/>
          <w:sz w:val="24"/>
          <w:szCs w:val="24"/>
        </w:rPr>
        <w:t xml:space="preserve">ancien </w:t>
      </w:r>
      <w:r w:rsidRPr="006055E4">
        <w:rPr>
          <w:rFonts w:ascii="Trebuchet MS" w:hAnsi="Trebuchet MS"/>
          <w:sz w:val="24"/>
          <w:szCs w:val="24"/>
        </w:rPr>
        <w:t>Directeur Général du Centre National de Pharmacovigilance (CNPV).</w:t>
      </w:r>
    </w:p>
    <w:p w:rsidR="000C504F" w:rsidRPr="006055E4" w:rsidRDefault="000C504F" w:rsidP="000C504F">
      <w:pPr>
        <w:jc w:val="both"/>
        <w:rPr>
          <w:rFonts w:ascii="Trebuchet MS" w:hAnsi="Trebuchet MS"/>
          <w:sz w:val="24"/>
          <w:szCs w:val="24"/>
        </w:rPr>
      </w:pPr>
      <w:r w:rsidRPr="006055E4">
        <w:rPr>
          <w:rFonts w:ascii="Trebuchet MS" w:hAnsi="Trebuchet MS"/>
          <w:sz w:val="24"/>
          <w:szCs w:val="24"/>
        </w:rPr>
        <w:t xml:space="preserve">Le </w:t>
      </w:r>
      <w:proofErr w:type="spellStart"/>
      <w:r w:rsidRPr="006055E4">
        <w:rPr>
          <w:rFonts w:ascii="Trebuchet MS" w:hAnsi="Trebuchet MS"/>
          <w:b/>
          <w:i/>
          <w:sz w:val="24"/>
          <w:szCs w:val="24"/>
        </w:rPr>
        <w:t>Come</w:t>
      </w:r>
      <w:r w:rsidRPr="006055E4">
        <w:rPr>
          <w:rFonts w:ascii="Trebuchet MS" w:hAnsi="Trebuchet MS"/>
          <w:b/>
          <w:i/>
          <w:color w:val="00B050"/>
          <w:sz w:val="24"/>
          <w:szCs w:val="24"/>
        </w:rPr>
        <w:t>t</w:t>
      </w:r>
      <w:proofErr w:type="spellEnd"/>
      <w:r w:rsidRPr="006055E4">
        <w:rPr>
          <w:rFonts w:ascii="Trebuchet MS" w:hAnsi="Trebuchet MS" w:cstheme="minorHAnsi"/>
          <w:sz w:val="24"/>
          <w:szCs w:val="24"/>
          <w:vertAlign w:val="superscript"/>
        </w:rPr>
        <w:t xml:space="preserve"> ©</w:t>
      </w:r>
      <w:r w:rsidRPr="006055E4">
        <w:rPr>
          <w:rFonts w:ascii="Trebuchet MS" w:hAnsi="Trebuchet MS"/>
          <w:sz w:val="24"/>
          <w:szCs w:val="24"/>
        </w:rPr>
        <w:t xml:space="preserve"> vient à point nommé pour combler un vide que les praticiens ressentent de plus en plus avec la complexité croissante de l’acte de prescription et la multitude et la difficulté d’accéder à une information à la fois, claire, crédible et exhaustive à propos des médicaments disponibles en Tunisie.</w:t>
      </w:r>
    </w:p>
    <w:p w:rsidR="000C504F" w:rsidRPr="006055E4" w:rsidRDefault="000C504F" w:rsidP="000C504F">
      <w:pPr>
        <w:jc w:val="both"/>
        <w:rPr>
          <w:rFonts w:ascii="Trebuchet MS" w:hAnsi="Trebuchet MS"/>
          <w:sz w:val="24"/>
          <w:szCs w:val="24"/>
        </w:rPr>
      </w:pPr>
      <w:r w:rsidRPr="006055E4">
        <w:rPr>
          <w:rFonts w:ascii="Trebuchet MS" w:hAnsi="Trebuchet MS"/>
          <w:sz w:val="24"/>
          <w:szCs w:val="24"/>
        </w:rPr>
        <w:t xml:space="preserve">Outre une information complète, claire et concise sur les médicaments (appellations, propriétés, effets indésirables, posologies, précautions </w:t>
      </w:r>
      <w:r w:rsidR="00CA0FFF" w:rsidRPr="006055E4">
        <w:rPr>
          <w:rFonts w:ascii="Trebuchet MS" w:hAnsi="Trebuchet MS"/>
          <w:sz w:val="24"/>
          <w:szCs w:val="24"/>
        </w:rPr>
        <w:t>d’emploi…</w:t>
      </w:r>
      <w:r w:rsidRPr="006055E4">
        <w:rPr>
          <w:rFonts w:ascii="Trebuchet MS" w:hAnsi="Trebuchet MS"/>
          <w:sz w:val="24"/>
          <w:szCs w:val="24"/>
        </w:rPr>
        <w:t xml:space="preserve">), le </w:t>
      </w:r>
      <w:proofErr w:type="spellStart"/>
      <w:r w:rsidRPr="006055E4">
        <w:rPr>
          <w:rFonts w:ascii="Trebuchet MS" w:hAnsi="Trebuchet MS"/>
          <w:b/>
          <w:i/>
          <w:sz w:val="24"/>
          <w:szCs w:val="24"/>
        </w:rPr>
        <w:t>Come</w:t>
      </w:r>
      <w:r w:rsidRPr="006055E4">
        <w:rPr>
          <w:rFonts w:ascii="Trebuchet MS" w:hAnsi="Trebuchet MS"/>
          <w:b/>
          <w:i/>
          <w:color w:val="00B050"/>
          <w:sz w:val="24"/>
          <w:szCs w:val="24"/>
        </w:rPr>
        <w:t>t</w:t>
      </w:r>
      <w:proofErr w:type="spellEnd"/>
      <w:r w:rsidRPr="006055E4">
        <w:rPr>
          <w:rFonts w:ascii="Trebuchet MS" w:hAnsi="Trebuchet MS" w:cstheme="minorHAnsi"/>
          <w:sz w:val="24"/>
          <w:szCs w:val="24"/>
          <w:vertAlign w:val="superscript"/>
        </w:rPr>
        <w:t xml:space="preserve"> ©</w:t>
      </w:r>
      <w:r w:rsidRPr="006055E4">
        <w:rPr>
          <w:rFonts w:ascii="Trebuchet MS" w:hAnsi="Trebuchet MS"/>
          <w:sz w:val="24"/>
          <w:szCs w:val="24"/>
        </w:rPr>
        <w:t xml:space="preserve"> intègre également deux outils : </w:t>
      </w:r>
    </w:p>
    <w:p w:rsidR="000C504F" w:rsidRPr="006055E4" w:rsidRDefault="000C504F" w:rsidP="000C504F">
      <w:pPr>
        <w:pStyle w:val="Paragraphedeliste"/>
        <w:numPr>
          <w:ilvl w:val="0"/>
          <w:numId w:val="1"/>
        </w:numPr>
        <w:ind w:left="567" w:hanging="283"/>
        <w:jc w:val="both"/>
        <w:rPr>
          <w:rFonts w:ascii="Trebuchet MS" w:hAnsi="Trebuchet MS"/>
          <w:sz w:val="24"/>
          <w:szCs w:val="24"/>
        </w:rPr>
      </w:pPr>
      <w:r w:rsidRPr="006055E4">
        <w:rPr>
          <w:rFonts w:ascii="Trebuchet MS" w:hAnsi="Trebuchet MS"/>
          <w:sz w:val="24"/>
          <w:szCs w:val="24"/>
        </w:rPr>
        <w:t xml:space="preserve">Une aide à la prescription sous forme d’un logiciel expert, générant un avertissement en cas d’erreurs dans la prescription (incompatibilités, interactions, </w:t>
      </w:r>
      <w:r w:rsidR="00CA0FFF" w:rsidRPr="006055E4">
        <w:rPr>
          <w:rFonts w:ascii="Trebuchet MS" w:hAnsi="Trebuchet MS"/>
          <w:sz w:val="24"/>
          <w:szCs w:val="24"/>
        </w:rPr>
        <w:t>contre-indications</w:t>
      </w:r>
      <w:r w:rsidRPr="006055E4">
        <w:rPr>
          <w:rFonts w:ascii="Trebuchet MS" w:hAnsi="Trebuchet MS"/>
          <w:sz w:val="24"/>
          <w:szCs w:val="24"/>
        </w:rPr>
        <w:t xml:space="preserve">, dose </w:t>
      </w:r>
      <w:r w:rsidR="00CA0FFF" w:rsidRPr="006055E4">
        <w:rPr>
          <w:rFonts w:ascii="Trebuchet MS" w:hAnsi="Trebuchet MS"/>
          <w:sz w:val="24"/>
          <w:szCs w:val="24"/>
        </w:rPr>
        <w:t>toxique…</w:t>
      </w:r>
      <w:r w:rsidRPr="006055E4">
        <w:rPr>
          <w:rFonts w:ascii="Trebuchet MS" w:hAnsi="Trebuchet MS"/>
          <w:sz w:val="24"/>
          <w:szCs w:val="24"/>
        </w:rPr>
        <w:t>)</w:t>
      </w:r>
    </w:p>
    <w:p w:rsidR="000C504F" w:rsidRPr="006055E4" w:rsidRDefault="000C504F" w:rsidP="000C504F">
      <w:pPr>
        <w:pStyle w:val="Paragraphedeliste"/>
        <w:numPr>
          <w:ilvl w:val="0"/>
          <w:numId w:val="1"/>
        </w:numPr>
        <w:ind w:left="567" w:hanging="283"/>
        <w:jc w:val="both"/>
        <w:rPr>
          <w:rFonts w:ascii="Trebuchet MS" w:hAnsi="Trebuchet MS"/>
          <w:sz w:val="24"/>
          <w:szCs w:val="24"/>
        </w:rPr>
      </w:pPr>
      <w:r w:rsidRPr="006055E4">
        <w:rPr>
          <w:rFonts w:ascii="Trebuchet MS" w:hAnsi="Trebuchet MS"/>
          <w:sz w:val="24"/>
          <w:szCs w:val="24"/>
        </w:rPr>
        <w:t>Un éditeur d’ordonnances permettant d’éviter les erreurs d’écriture et la mise à la disposition, à la fois, du pharmacien d’une ordonnance facile à exécuter et du patient un document facile à consulter pour suivre au mieux les recommandations du médecin.</w:t>
      </w:r>
    </w:p>
    <w:p w:rsidR="000C504F" w:rsidRPr="006055E4" w:rsidRDefault="000C504F" w:rsidP="000C504F">
      <w:pPr>
        <w:jc w:val="both"/>
        <w:rPr>
          <w:rFonts w:ascii="Trebuchet MS" w:hAnsi="Trebuchet MS" w:cstheme="minorHAnsi"/>
          <w:sz w:val="24"/>
          <w:szCs w:val="24"/>
        </w:rPr>
      </w:pPr>
      <w:r w:rsidRPr="006055E4">
        <w:rPr>
          <w:rFonts w:ascii="Trebuchet MS" w:hAnsi="Trebuchet MS"/>
          <w:sz w:val="24"/>
          <w:szCs w:val="24"/>
        </w:rPr>
        <w:t xml:space="preserve">Le </w:t>
      </w:r>
      <w:proofErr w:type="spellStart"/>
      <w:r w:rsidRPr="006055E4">
        <w:rPr>
          <w:rFonts w:ascii="Trebuchet MS" w:hAnsi="Trebuchet MS"/>
          <w:b/>
          <w:i/>
          <w:sz w:val="24"/>
          <w:szCs w:val="24"/>
        </w:rPr>
        <w:t>Come</w:t>
      </w:r>
      <w:r w:rsidRPr="006055E4">
        <w:rPr>
          <w:rFonts w:ascii="Trebuchet MS" w:hAnsi="Trebuchet MS"/>
          <w:b/>
          <w:i/>
          <w:color w:val="00B050"/>
          <w:sz w:val="24"/>
          <w:szCs w:val="24"/>
        </w:rPr>
        <w:t>t</w:t>
      </w:r>
      <w:proofErr w:type="spellEnd"/>
      <w:r w:rsidRPr="006055E4">
        <w:rPr>
          <w:rFonts w:ascii="Trebuchet MS" w:hAnsi="Trebuchet MS" w:cstheme="minorHAnsi"/>
          <w:sz w:val="24"/>
          <w:szCs w:val="24"/>
          <w:vertAlign w:val="superscript"/>
        </w:rPr>
        <w:t xml:space="preserve"> © </w:t>
      </w:r>
      <w:r w:rsidRPr="006055E4">
        <w:rPr>
          <w:rFonts w:ascii="Trebuchet MS" w:hAnsi="Trebuchet MS" w:cstheme="minorHAnsi"/>
          <w:sz w:val="24"/>
          <w:szCs w:val="24"/>
        </w:rPr>
        <w:t xml:space="preserve">facilitera autant la </w:t>
      </w:r>
      <w:r w:rsidR="00CA0FFF" w:rsidRPr="006055E4">
        <w:rPr>
          <w:rFonts w:ascii="Trebuchet MS" w:hAnsi="Trebuchet MS" w:cstheme="minorHAnsi"/>
          <w:sz w:val="24"/>
          <w:szCs w:val="24"/>
        </w:rPr>
        <w:t>tâche</w:t>
      </w:r>
      <w:r w:rsidRPr="006055E4">
        <w:rPr>
          <w:rFonts w:ascii="Trebuchet MS" w:hAnsi="Trebuchet MS" w:cstheme="minorHAnsi"/>
          <w:sz w:val="24"/>
          <w:szCs w:val="24"/>
        </w:rPr>
        <w:t xml:space="preserve"> du médecin, qu’il contribuera à la sécurité des prescriptions et par conséquent des malades. Et comme il touche à un domaine éminemment évolutif, avec des médicaments qui arrivent et d’autres qui seront retirés du marché, des connaissances sans cesse en évolution, des règles de prises en charge ou des règlementations changeantes aussi, il va bénéficier de mises à jour itératives et automatiques (lors de chaque connexion à l’internet), chaque fois que le besoin se fait sentir sous forme de changements dans les statuts des médicaments ou des règlementations qui les concernent.  </w:t>
      </w:r>
    </w:p>
    <w:p w:rsidR="00550446" w:rsidRPr="006055E4" w:rsidRDefault="00550446">
      <w:pPr>
        <w:rPr>
          <w:rFonts w:ascii="Trebuchet MS" w:hAnsi="Trebuchet MS"/>
        </w:rPr>
      </w:pPr>
    </w:p>
    <w:sectPr w:rsidR="00550446" w:rsidRPr="006055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CE8D"/>
      </v:shape>
    </w:pict>
  </w:numPicBullet>
  <w:abstractNum w:abstractNumId="0" w15:restartNumberingAfterBreak="0">
    <w:nsid w:val="2C073926"/>
    <w:multiLevelType w:val="hybridMultilevel"/>
    <w:tmpl w:val="0420B57E"/>
    <w:lvl w:ilvl="0" w:tplc="040C0007">
      <w:start w:val="1"/>
      <w:numFmt w:val="bullet"/>
      <w:lvlText w:val=""/>
      <w:lvlPicBulletId w:val="0"/>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04F"/>
    <w:rsid w:val="000C504F"/>
    <w:rsid w:val="00550446"/>
    <w:rsid w:val="006055E4"/>
    <w:rsid w:val="00CA0F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EA1AF"/>
  <w15:chartTrackingRefBased/>
  <w15:docId w15:val="{AF4C1671-7D14-45A8-94F3-29F81B0CD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04F"/>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50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302</Words>
  <Characters>1664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3</cp:revision>
  <dcterms:created xsi:type="dcterms:W3CDTF">2020-04-05T10:05:00Z</dcterms:created>
  <dcterms:modified xsi:type="dcterms:W3CDTF">2020-04-05T10:19:00Z</dcterms:modified>
</cp:coreProperties>
</file>