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CE" w:rsidRDefault="00502DCE" w:rsidP="00502DCE">
      <w:pPr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</w:p>
    <w:p w:rsidR="00502DCE" w:rsidRDefault="00502DCE" w:rsidP="00502DCE">
      <w:pPr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</w:p>
    <w:p w:rsidR="00A94A6C" w:rsidRPr="00A94A6C" w:rsidRDefault="00A94A6C" w:rsidP="00A94A6C">
      <w:pPr>
        <w:rPr>
          <w:rFonts w:ascii="Arial" w:hAnsi="Arial" w:cs="Arial"/>
          <w:color w:val="660099"/>
          <w:u w:val="single"/>
          <w:shd w:val="clear" w:color="auto" w:fill="FFFFFF"/>
        </w:rPr>
      </w:pPr>
      <w:r w:rsidRPr="00A94A6C">
        <w:fldChar w:fldCharType="begin"/>
      </w:r>
      <w:r w:rsidRPr="00A94A6C">
        <w:instrText xml:space="preserve"> HYPERLINK "https://imagestion.com/lutilite-dun-logiciel-de-comptabilite" </w:instrText>
      </w:r>
      <w:r w:rsidRPr="00A94A6C">
        <w:fldChar w:fldCharType="separate"/>
      </w:r>
    </w:p>
    <w:p w:rsidR="00A94A6C" w:rsidRDefault="00A94A6C" w:rsidP="00A94A6C">
      <w:pPr>
        <w:jc w:val="both"/>
      </w:pPr>
      <w:r w:rsidRPr="00A94A6C">
        <w:fldChar w:fldCharType="end"/>
      </w:r>
    </w:p>
    <w:p w:rsidR="00A94A6C" w:rsidRPr="00A94A6C" w:rsidRDefault="00A94A6C" w:rsidP="00A94A6C">
      <w:pPr>
        <w:jc w:val="center"/>
        <w:rPr>
          <w:rFonts w:ascii="Trebuchet MS" w:hAnsi="Trebuchet MS" w:cs="Traditional Arabic"/>
          <w:b/>
          <w:bCs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U</w:t>
      </w:r>
      <w:r w:rsidRPr="00A94A6C">
        <w:rPr>
          <w:rFonts w:ascii="Trebuchet MS" w:hAnsi="Trebuchet MS"/>
          <w:b/>
          <w:sz w:val="28"/>
          <w:szCs w:val="28"/>
        </w:rPr>
        <w:t>tilité</w:t>
      </w:r>
      <w:r>
        <w:rPr>
          <w:rFonts w:ascii="Trebuchet MS" w:hAnsi="Trebuchet MS"/>
          <w:b/>
          <w:sz w:val="28"/>
          <w:szCs w:val="28"/>
        </w:rPr>
        <w:t>s</w:t>
      </w:r>
      <w:r w:rsidRPr="00A94A6C">
        <w:rPr>
          <w:rFonts w:ascii="Trebuchet MS" w:hAnsi="Trebuchet MS"/>
          <w:b/>
          <w:sz w:val="28"/>
          <w:szCs w:val="28"/>
        </w:rPr>
        <w:t xml:space="preserve"> du </w:t>
      </w:r>
      <w:proofErr w:type="spellStart"/>
      <w:r w:rsidRPr="00A94A6C">
        <w:rPr>
          <w:rFonts w:ascii="Trebuchet MS" w:hAnsi="Trebuchet MS"/>
          <w:b/>
          <w:i/>
          <w:sz w:val="28"/>
          <w:szCs w:val="28"/>
        </w:rPr>
        <w:t>Come</w:t>
      </w:r>
      <w:r w:rsidRPr="00A94A6C">
        <w:rPr>
          <w:rFonts w:ascii="Trebuchet MS" w:hAnsi="Trebuchet MS"/>
          <w:b/>
          <w:i/>
          <w:color w:val="00B050"/>
          <w:sz w:val="28"/>
          <w:szCs w:val="28"/>
        </w:rPr>
        <w:t>t</w:t>
      </w:r>
      <w:proofErr w:type="spellEnd"/>
      <w:r w:rsidRPr="00A94A6C">
        <w:rPr>
          <w:rFonts w:ascii="Trebuchet MS" w:hAnsi="Trebuchet MS" w:cstheme="minorHAnsi"/>
          <w:b/>
          <w:sz w:val="28"/>
          <w:szCs w:val="28"/>
          <w:vertAlign w:val="superscript"/>
        </w:rPr>
        <w:t>©</w:t>
      </w:r>
      <w:r>
        <w:rPr>
          <w:rFonts w:ascii="Trebuchet MS" w:hAnsi="Trebuchet MS" w:cstheme="minorHAnsi"/>
          <w:b/>
          <w:sz w:val="28"/>
          <w:szCs w:val="28"/>
          <w:vertAlign w:val="superscript"/>
        </w:rPr>
        <w:t xml:space="preserve"> </w:t>
      </w:r>
      <w:r w:rsidRPr="00A94A6C">
        <w:rPr>
          <w:rFonts w:ascii="Trebuchet MS" w:hAnsi="Trebuchet MS" w:cstheme="minorHAnsi"/>
          <w:b/>
          <w:sz w:val="28"/>
          <w:szCs w:val="28"/>
        </w:rPr>
        <w:t>pour le cops médical</w:t>
      </w:r>
      <w:r>
        <w:rPr>
          <w:rFonts w:ascii="Trebuchet MS" w:hAnsi="Trebuchet MS" w:cstheme="minorHAnsi"/>
          <w:b/>
          <w:sz w:val="28"/>
          <w:szCs w:val="28"/>
          <w:vertAlign w:val="superscript"/>
        </w:rPr>
        <w:t xml:space="preserve"> </w:t>
      </w:r>
    </w:p>
    <w:p w:rsidR="00A94A6C" w:rsidRPr="00A94A6C" w:rsidRDefault="00A94A6C" w:rsidP="00502DCE">
      <w:pPr>
        <w:jc w:val="both"/>
        <w:rPr>
          <w:rFonts w:ascii="Trebuchet MS" w:hAnsi="Trebuchet MS" w:cs="Traditional Arabic"/>
          <w:b/>
          <w:bCs/>
          <w:sz w:val="28"/>
          <w:szCs w:val="28"/>
        </w:rPr>
      </w:pPr>
    </w:p>
    <w:p w:rsidR="00502DCE" w:rsidRPr="00A94A6C" w:rsidRDefault="00502DCE" w:rsidP="00502DCE">
      <w:pPr>
        <w:jc w:val="both"/>
        <w:rPr>
          <w:rFonts w:ascii="Trebuchet MS" w:hAnsi="Trebuchet MS" w:cs="Traditional Arabic"/>
          <w:sz w:val="28"/>
          <w:szCs w:val="28"/>
        </w:rPr>
      </w:pPr>
    </w:p>
    <w:p w:rsidR="00502DCE" w:rsidRPr="00A94A6C" w:rsidRDefault="00502DCE" w:rsidP="00502DCE">
      <w:pPr>
        <w:jc w:val="both"/>
        <w:rPr>
          <w:rFonts w:ascii="Trebuchet MS" w:hAnsi="Trebuchet MS" w:cs="Traditional Arabic"/>
        </w:rPr>
      </w:pPr>
      <w:r w:rsidRPr="00A94A6C">
        <w:rPr>
          <w:rFonts w:ascii="Trebuchet MS" w:hAnsi="Trebuchet MS"/>
          <w:b/>
        </w:rPr>
        <w:t>Le</w:t>
      </w:r>
      <w:r w:rsidRPr="00A94A6C">
        <w:rPr>
          <w:rFonts w:ascii="Trebuchet MS" w:hAnsi="Trebuchet MS"/>
          <w:b/>
          <w:color w:val="00B050"/>
        </w:rPr>
        <w:t xml:space="preserve"> </w:t>
      </w:r>
      <w:proofErr w:type="spellStart"/>
      <w:r w:rsidRPr="00A94A6C">
        <w:rPr>
          <w:rFonts w:ascii="Trebuchet MS" w:hAnsi="Trebuchet MS"/>
          <w:b/>
          <w:i/>
        </w:rPr>
        <w:t>Come</w:t>
      </w:r>
      <w:r w:rsidRPr="00A94A6C">
        <w:rPr>
          <w:rFonts w:ascii="Trebuchet MS" w:hAnsi="Trebuchet MS"/>
          <w:b/>
          <w:i/>
          <w:color w:val="00B050"/>
        </w:rPr>
        <w:t>t</w:t>
      </w:r>
      <w:proofErr w:type="spellEnd"/>
      <w:r w:rsidRPr="00A94A6C">
        <w:rPr>
          <w:rFonts w:ascii="Trebuchet MS" w:hAnsi="Trebuchet MS" w:cstheme="minorHAnsi"/>
          <w:b/>
          <w:vertAlign w:val="superscript"/>
        </w:rPr>
        <w:t xml:space="preserve">© </w:t>
      </w:r>
      <w:r w:rsidRPr="00A94A6C">
        <w:rPr>
          <w:rFonts w:ascii="Trebuchet MS" w:hAnsi="Trebuchet MS" w:cs="Traditional Arabic"/>
        </w:rPr>
        <w:t>est un</w:t>
      </w:r>
      <w:r w:rsidRPr="00A94A6C">
        <w:rPr>
          <w:rFonts w:ascii="Trebuchet MS" w:hAnsi="Trebuchet MS" w:cs="Traditional Arabic"/>
        </w:rPr>
        <w:t xml:space="preserve"> </w:t>
      </w:r>
      <w:r w:rsidRPr="00A94A6C">
        <w:rPr>
          <w:rFonts w:ascii="Trebuchet MS" w:hAnsi="Trebuchet MS" w:cs="Traditional Arabic"/>
          <w:b/>
          <w:bCs/>
        </w:rPr>
        <w:t xml:space="preserve">logiciel expert </w:t>
      </w:r>
      <w:r w:rsidRPr="00A94A6C">
        <w:rPr>
          <w:rFonts w:ascii="Trebuchet MS" w:hAnsi="Trebuchet MS" w:cs="Traditional Arabic"/>
          <w:b/>
          <w:bCs/>
        </w:rPr>
        <w:t xml:space="preserve">qui </w:t>
      </w:r>
      <w:r w:rsidRPr="00A94A6C">
        <w:rPr>
          <w:rFonts w:ascii="Trebuchet MS" w:hAnsi="Trebuchet MS" w:cs="Traditional Arabic"/>
        </w:rPr>
        <w:t>regroup</w:t>
      </w:r>
      <w:r w:rsidRPr="00A94A6C">
        <w:rPr>
          <w:rFonts w:ascii="Trebuchet MS" w:hAnsi="Trebuchet MS" w:cs="Traditional Arabic"/>
        </w:rPr>
        <w:t>e</w:t>
      </w:r>
      <w:r w:rsidRPr="00A94A6C">
        <w:rPr>
          <w:rFonts w:ascii="Trebuchet MS" w:hAnsi="Trebuchet MS" w:cs="Traditional Arabic"/>
        </w:rPr>
        <w:t xml:space="preserve"> tous les médicaments commercialisés en Tunisie </w:t>
      </w:r>
      <w:bookmarkStart w:id="0" w:name="_GoBack"/>
      <w:bookmarkEnd w:id="0"/>
    </w:p>
    <w:p w:rsidR="00502DCE" w:rsidRPr="00A94A6C" w:rsidRDefault="00502DCE" w:rsidP="00502DCE">
      <w:pPr>
        <w:jc w:val="both"/>
        <w:rPr>
          <w:rFonts w:ascii="Trebuchet MS" w:hAnsi="Trebuchet MS" w:cs="Traditional Arabic"/>
        </w:rPr>
      </w:pPr>
      <w:r w:rsidRPr="00A94A6C">
        <w:rPr>
          <w:rFonts w:ascii="Trebuchet MS" w:hAnsi="Trebuchet MS" w:cs="Traditional Arabic"/>
        </w:rPr>
        <w:t xml:space="preserve"> </w:t>
      </w:r>
    </w:p>
    <w:p w:rsidR="00502DCE" w:rsidRPr="00A94A6C" w:rsidRDefault="00502DCE" w:rsidP="00502DCE">
      <w:pPr>
        <w:jc w:val="both"/>
        <w:rPr>
          <w:rFonts w:ascii="Trebuchet MS" w:hAnsi="Trebuchet MS" w:cs="Traditional Arabic"/>
        </w:rPr>
      </w:pPr>
      <w:r w:rsidRPr="00A94A6C">
        <w:rPr>
          <w:rFonts w:ascii="Trebuchet MS" w:hAnsi="Trebuchet MS"/>
          <w:b/>
        </w:rPr>
        <w:t>L</w:t>
      </w:r>
      <w:r w:rsidRPr="00A94A6C">
        <w:rPr>
          <w:rFonts w:ascii="Trebuchet MS" w:hAnsi="Trebuchet MS"/>
          <w:b/>
        </w:rPr>
        <w:t>e</w:t>
      </w:r>
      <w:r w:rsidRPr="00A94A6C">
        <w:rPr>
          <w:rFonts w:ascii="Trebuchet MS" w:hAnsi="Trebuchet MS"/>
          <w:b/>
          <w:color w:val="00B050"/>
        </w:rPr>
        <w:t xml:space="preserve"> </w:t>
      </w:r>
      <w:proofErr w:type="spellStart"/>
      <w:r w:rsidRPr="00A94A6C">
        <w:rPr>
          <w:rFonts w:ascii="Trebuchet MS" w:hAnsi="Trebuchet MS"/>
          <w:b/>
          <w:i/>
        </w:rPr>
        <w:t>Come</w:t>
      </w:r>
      <w:r w:rsidRPr="00A94A6C">
        <w:rPr>
          <w:rFonts w:ascii="Trebuchet MS" w:hAnsi="Trebuchet MS"/>
          <w:b/>
          <w:i/>
          <w:color w:val="00B050"/>
        </w:rPr>
        <w:t>t</w:t>
      </w:r>
      <w:proofErr w:type="spellEnd"/>
      <w:r w:rsidRPr="00A94A6C">
        <w:rPr>
          <w:rFonts w:ascii="Trebuchet MS" w:hAnsi="Trebuchet MS" w:cstheme="minorHAnsi"/>
          <w:b/>
          <w:vertAlign w:val="superscript"/>
        </w:rPr>
        <w:t>©</w:t>
      </w:r>
      <w:r w:rsidRPr="00A94A6C">
        <w:rPr>
          <w:rFonts w:ascii="Trebuchet MS" w:hAnsi="Trebuchet MS" w:cstheme="minorHAnsi"/>
          <w:b/>
          <w:vertAlign w:val="superscript"/>
        </w:rPr>
        <w:t xml:space="preserve"> </w:t>
      </w:r>
      <w:r w:rsidRPr="00A94A6C">
        <w:rPr>
          <w:rFonts w:ascii="Trebuchet MS" w:hAnsi="Trebuchet MS" w:cs="Traditional Arabic"/>
        </w:rPr>
        <w:t xml:space="preserve">vous </w:t>
      </w:r>
      <w:r w:rsidRPr="00A94A6C">
        <w:rPr>
          <w:rFonts w:ascii="Trebuchet MS" w:hAnsi="Trebuchet MS" w:cs="Traditional Arabic"/>
          <w:b/>
          <w:bCs/>
        </w:rPr>
        <w:t>apportera un appui</w:t>
      </w:r>
      <w:r w:rsidRPr="00A94A6C">
        <w:rPr>
          <w:rFonts w:ascii="Trebuchet MS" w:hAnsi="Trebuchet MS" w:cs="Traditional Arabic"/>
        </w:rPr>
        <w:t xml:space="preserve"> pour détecter les interactions et les incompatibilités entre les médicaments prescrits tout en proposant des solutions de rechange,</w:t>
      </w:r>
    </w:p>
    <w:p w:rsidR="00A94A6C" w:rsidRPr="00A94A6C" w:rsidRDefault="00A94A6C" w:rsidP="00502DCE">
      <w:pPr>
        <w:jc w:val="both"/>
        <w:rPr>
          <w:rFonts w:ascii="Trebuchet MS" w:hAnsi="Trebuchet MS" w:cs="Traditional Arabic"/>
        </w:rPr>
      </w:pPr>
    </w:p>
    <w:p w:rsidR="00502DCE" w:rsidRPr="00A94A6C" w:rsidRDefault="00502DCE" w:rsidP="00502DCE">
      <w:pPr>
        <w:jc w:val="both"/>
        <w:rPr>
          <w:rFonts w:ascii="Trebuchet MS" w:hAnsi="Trebuchet MS" w:cs="Traditional Arabic"/>
        </w:rPr>
      </w:pPr>
      <w:r w:rsidRPr="00A94A6C">
        <w:rPr>
          <w:rFonts w:ascii="Trebuchet MS" w:hAnsi="Trebuchet MS"/>
          <w:b/>
        </w:rPr>
        <w:t>L</w:t>
      </w:r>
      <w:r w:rsidRPr="00A94A6C">
        <w:rPr>
          <w:rFonts w:ascii="Trebuchet MS" w:hAnsi="Trebuchet MS"/>
          <w:b/>
        </w:rPr>
        <w:t>e</w:t>
      </w:r>
      <w:r w:rsidRPr="00A94A6C">
        <w:rPr>
          <w:rFonts w:ascii="Trebuchet MS" w:hAnsi="Trebuchet MS"/>
          <w:b/>
          <w:color w:val="00B050"/>
        </w:rPr>
        <w:t xml:space="preserve"> </w:t>
      </w:r>
      <w:proofErr w:type="spellStart"/>
      <w:r w:rsidRPr="00A94A6C">
        <w:rPr>
          <w:rFonts w:ascii="Trebuchet MS" w:hAnsi="Trebuchet MS"/>
          <w:b/>
          <w:i/>
        </w:rPr>
        <w:t>Come</w:t>
      </w:r>
      <w:r w:rsidRPr="00A94A6C">
        <w:rPr>
          <w:rFonts w:ascii="Trebuchet MS" w:hAnsi="Trebuchet MS"/>
          <w:b/>
          <w:i/>
          <w:color w:val="00B050"/>
        </w:rPr>
        <w:t>t</w:t>
      </w:r>
      <w:proofErr w:type="spellEnd"/>
      <w:r w:rsidRPr="00A94A6C">
        <w:rPr>
          <w:rFonts w:ascii="Trebuchet MS" w:hAnsi="Trebuchet MS" w:cstheme="minorHAnsi"/>
          <w:b/>
          <w:vertAlign w:val="superscript"/>
        </w:rPr>
        <w:t>©</w:t>
      </w:r>
      <w:r w:rsidRPr="00A94A6C">
        <w:rPr>
          <w:rFonts w:ascii="Trebuchet MS" w:hAnsi="Trebuchet MS" w:cstheme="minorHAnsi"/>
          <w:b/>
          <w:vertAlign w:val="superscript"/>
        </w:rPr>
        <w:t xml:space="preserve"> </w:t>
      </w:r>
      <w:r w:rsidRPr="00A94A6C">
        <w:rPr>
          <w:rFonts w:ascii="Trebuchet MS" w:hAnsi="Trebuchet MS" w:cs="Traditional Arabic"/>
        </w:rPr>
        <w:t xml:space="preserve">vous </w:t>
      </w:r>
      <w:r w:rsidRPr="00A94A6C">
        <w:rPr>
          <w:rFonts w:ascii="Trebuchet MS" w:hAnsi="Trebuchet MS" w:cs="Traditional Arabic"/>
          <w:b/>
          <w:bCs/>
        </w:rPr>
        <w:t xml:space="preserve">aidera </w:t>
      </w:r>
      <w:r w:rsidRPr="00A94A6C">
        <w:rPr>
          <w:rFonts w:ascii="Trebuchet MS" w:hAnsi="Trebuchet MS" w:cs="Traditional Arabic"/>
        </w:rPr>
        <w:t xml:space="preserve">à bien discerner les incohérences entre l’âge, les posologies, la grossesse et les différentes pathologies, </w:t>
      </w:r>
    </w:p>
    <w:p w:rsidR="00A94A6C" w:rsidRPr="00A94A6C" w:rsidRDefault="00A94A6C" w:rsidP="00502DCE">
      <w:pPr>
        <w:jc w:val="both"/>
        <w:rPr>
          <w:rFonts w:ascii="Trebuchet MS" w:hAnsi="Trebuchet MS" w:cs="Traditional Arabic"/>
        </w:rPr>
      </w:pPr>
    </w:p>
    <w:p w:rsidR="00502DCE" w:rsidRPr="00A94A6C" w:rsidRDefault="00502DCE" w:rsidP="00502DCE">
      <w:pPr>
        <w:jc w:val="both"/>
        <w:rPr>
          <w:rFonts w:ascii="Trebuchet MS" w:hAnsi="Trebuchet MS" w:cs="Traditional Arabic"/>
        </w:rPr>
      </w:pPr>
      <w:r w:rsidRPr="00A94A6C">
        <w:rPr>
          <w:rFonts w:ascii="Trebuchet MS" w:hAnsi="Trebuchet MS"/>
          <w:b/>
        </w:rPr>
        <w:t>L</w:t>
      </w:r>
      <w:r w:rsidRPr="00A94A6C">
        <w:rPr>
          <w:rFonts w:ascii="Trebuchet MS" w:hAnsi="Trebuchet MS"/>
          <w:b/>
        </w:rPr>
        <w:t>e</w:t>
      </w:r>
      <w:r w:rsidRPr="00A94A6C">
        <w:rPr>
          <w:rFonts w:ascii="Trebuchet MS" w:hAnsi="Trebuchet MS"/>
          <w:b/>
          <w:color w:val="00B050"/>
        </w:rPr>
        <w:t xml:space="preserve"> </w:t>
      </w:r>
      <w:proofErr w:type="spellStart"/>
      <w:r w:rsidRPr="00A94A6C">
        <w:rPr>
          <w:rFonts w:ascii="Trebuchet MS" w:hAnsi="Trebuchet MS"/>
          <w:b/>
          <w:i/>
        </w:rPr>
        <w:t>Come</w:t>
      </w:r>
      <w:r w:rsidRPr="00A94A6C">
        <w:rPr>
          <w:rFonts w:ascii="Trebuchet MS" w:hAnsi="Trebuchet MS"/>
          <w:b/>
          <w:i/>
          <w:color w:val="00B050"/>
        </w:rPr>
        <w:t>t</w:t>
      </w:r>
      <w:proofErr w:type="spellEnd"/>
      <w:r w:rsidRPr="00A94A6C">
        <w:rPr>
          <w:rFonts w:ascii="Trebuchet MS" w:hAnsi="Trebuchet MS" w:cstheme="minorHAnsi"/>
          <w:b/>
          <w:vertAlign w:val="superscript"/>
        </w:rPr>
        <w:t>©</w:t>
      </w:r>
      <w:r w:rsidRPr="00A94A6C">
        <w:rPr>
          <w:rFonts w:ascii="Trebuchet MS" w:hAnsi="Trebuchet MS" w:cstheme="minorHAnsi"/>
          <w:b/>
          <w:vertAlign w:val="superscript"/>
        </w:rPr>
        <w:t xml:space="preserve"> </w:t>
      </w:r>
      <w:r w:rsidRPr="00A94A6C">
        <w:rPr>
          <w:rFonts w:ascii="Trebuchet MS" w:hAnsi="Trebuchet MS" w:cs="Traditional Arabic"/>
        </w:rPr>
        <w:t xml:space="preserve">vous </w:t>
      </w:r>
      <w:r w:rsidRPr="00A94A6C">
        <w:rPr>
          <w:rFonts w:ascii="Trebuchet MS" w:hAnsi="Trebuchet MS" w:cs="Traditional Arabic"/>
          <w:b/>
          <w:bCs/>
        </w:rPr>
        <w:t>tiendra informé</w:t>
      </w:r>
      <w:r w:rsidRPr="00A94A6C">
        <w:rPr>
          <w:rFonts w:ascii="Trebuchet MS" w:hAnsi="Trebuchet MS" w:cs="Traditional Arabic"/>
        </w:rPr>
        <w:t xml:space="preserve"> quotidiennement, des nouveaux médicaments, des </w:t>
      </w:r>
      <w:r w:rsidRPr="00A94A6C">
        <w:rPr>
          <w:rFonts w:ascii="Trebuchet MS" w:hAnsi="Trebuchet MS" w:cs="Traditional Arabic"/>
          <w:color w:val="000000"/>
        </w:rPr>
        <w:t>médicaments</w:t>
      </w:r>
      <w:r w:rsidRPr="00A94A6C">
        <w:rPr>
          <w:rFonts w:ascii="Trebuchet MS" w:hAnsi="Trebuchet MS" w:cs="Traditional Arabic"/>
        </w:rPr>
        <w:t xml:space="preserve"> et lots retirés, des</w:t>
      </w:r>
      <w:r w:rsidRPr="00A94A6C">
        <w:rPr>
          <w:rFonts w:ascii="Trebuchet MS" w:hAnsi="Trebuchet MS" w:cs="Traditional Arabic"/>
        </w:rPr>
        <w:t xml:space="preserve"> produits</w:t>
      </w:r>
      <w:r w:rsidRPr="00A94A6C">
        <w:rPr>
          <w:rFonts w:ascii="Trebuchet MS" w:hAnsi="Trebuchet MS" w:cs="Traditional Arabic"/>
        </w:rPr>
        <w:t xml:space="preserve"> </w:t>
      </w:r>
      <w:r w:rsidRPr="00A94A6C">
        <w:rPr>
          <w:rFonts w:ascii="Trebuchet MS" w:hAnsi="Trebuchet MS" w:cs="Traditional Arabic"/>
          <w:color w:val="000000"/>
        </w:rPr>
        <w:t>équivalents</w:t>
      </w:r>
      <w:r w:rsidRPr="00A94A6C">
        <w:rPr>
          <w:rFonts w:ascii="Trebuchet MS" w:hAnsi="Trebuchet MS" w:cs="Traditional Arabic"/>
        </w:rPr>
        <w:t>, des</w:t>
      </w:r>
      <w:r w:rsidRPr="00A94A6C">
        <w:rPr>
          <w:rFonts w:ascii="Trebuchet MS" w:hAnsi="Trebuchet MS" w:cs="Traditional Arabic"/>
        </w:rPr>
        <w:t xml:space="preserve"> ruptures de stock ... et ce grâce à la mise à jour incorporée au logiciel, </w:t>
      </w:r>
    </w:p>
    <w:p w:rsidR="00A94A6C" w:rsidRPr="00A94A6C" w:rsidRDefault="00A94A6C" w:rsidP="00502DCE">
      <w:pPr>
        <w:jc w:val="both"/>
        <w:rPr>
          <w:rFonts w:ascii="Trebuchet MS" w:hAnsi="Trebuchet MS" w:cs="Traditional Arabic"/>
        </w:rPr>
      </w:pPr>
    </w:p>
    <w:p w:rsidR="00502DCE" w:rsidRPr="00A94A6C" w:rsidRDefault="00502DCE" w:rsidP="00502DCE">
      <w:pPr>
        <w:jc w:val="both"/>
        <w:rPr>
          <w:rFonts w:ascii="Trebuchet MS" w:hAnsi="Trebuchet MS" w:cs="Traditional Arabic"/>
        </w:rPr>
      </w:pPr>
      <w:r w:rsidRPr="00A94A6C">
        <w:rPr>
          <w:rFonts w:ascii="Trebuchet MS" w:hAnsi="Trebuchet MS"/>
          <w:b/>
        </w:rPr>
        <w:t>L</w:t>
      </w:r>
      <w:r w:rsidRPr="00A94A6C">
        <w:rPr>
          <w:rFonts w:ascii="Trebuchet MS" w:hAnsi="Trebuchet MS"/>
          <w:b/>
        </w:rPr>
        <w:t>e</w:t>
      </w:r>
      <w:r w:rsidRPr="00A94A6C">
        <w:rPr>
          <w:rFonts w:ascii="Trebuchet MS" w:hAnsi="Trebuchet MS"/>
          <w:b/>
          <w:color w:val="00B050"/>
        </w:rPr>
        <w:t xml:space="preserve"> </w:t>
      </w:r>
      <w:proofErr w:type="spellStart"/>
      <w:r w:rsidRPr="00A94A6C">
        <w:rPr>
          <w:rFonts w:ascii="Trebuchet MS" w:hAnsi="Trebuchet MS"/>
          <w:b/>
          <w:i/>
        </w:rPr>
        <w:t>Come</w:t>
      </w:r>
      <w:r w:rsidRPr="00A94A6C">
        <w:rPr>
          <w:rFonts w:ascii="Trebuchet MS" w:hAnsi="Trebuchet MS"/>
          <w:b/>
          <w:i/>
          <w:color w:val="00B050"/>
        </w:rPr>
        <w:t>t</w:t>
      </w:r>
      <w:proofErr w:type="spellEnd"/>
      <w:r w:rsidRPr="00A94A6C">
        <w:rPr>
          <w:rFonts w:ascii="Trebuchet MS" w:hAnsi="Trebuchet MS" w:cstheme="minorHAnsi"/>
          <w:b/>
          <w:vertAlign w:val="superscript"/>
        </w:rPr>
        <w:t>©</w:t>
      </w:r>
      <w:r w:rsidRPr="00A94A6C">
        <w:rPr>
          <w:rFonts w:ascii="Trebuchet MS" w:hAnsi="Trebuchet MS" w:cs="Traditional Arabic"/>
        </w:rPr>
        <w:t xml:space="preserve"> </w:t>
      </w:r>
      <w:r w:rsidRPr="00A94A6C">
        <w:rPr>
          <w:rFonts w:ascii="Trebuchet MS" w:hAnsi="Trebuchet MS" w:cs="Traditional Arabic"/>
          <w:b/>
          <w:bCs/>
        </w:rPr>
        <w:t xml:space="preserve">est </w:t>
      </w:r>
      <w:r w:rsidRPr="00A94A6C">
        <w:rPr>
          <w:rFonts w:ascii="Trebuchet MS" w:hAnsi="Trebuchet MS" w:cs="Traditional Arabic"/>
        </w:rPr>
        <w:t>un éditeur d’ordonnance facile et sécurisé,</w:t>
      </w:r>
    </w:p>
    <w:p w:rsidR="00A94A6C" w:rsidRPr="00A94A6C" w:rsidRDefault="00A94A6C" w:rsidP="00502DCE">
      <w:pPr>
        <w:jc w:val="both"/>
        <w:rPr>
          <w:rFonts w:ascii="Trebuchet MS" w:hAnsi="Trebuchet MS" w:cs="Traditional Arabic"/>
        </w:rPr>
      </w:pPr>
    </w:p>
    <w:p w:rsidR="00502DCE" w:rsidRPr="00A94A6C" w:rsidRDefault="00502DCE" w:rsidP="00502DCE">
      <w:pPr>
        <w:jc w:val="both"/>
        <w:rPr>
          <w:rFonts w:ascii="Trebuchet MS" w:hAnsi="Trebuchet MS" w:cs="Traditional Arabic"/>
          <w:color w:val="FF0000"/>
        </w:rPr>
      </w:pPr>
      <w:r w:rsidRPr="00A94A6C">
        <w:rPr>
          <w:rFonts w:ascii="Trebuchet MS" w:hAnsi="Trebuchet MS"/>
          <w:b/>
        </w:rPr>
        <w:t>L</w:t>
      </w:r>
      <w:r w:rsidRPr="00A94A6C">
        <w:rPr>
          <w:rFonts w:ascii="Trebuchet MS" w:hAnsi="Trebuchet MS"/>
          <w:b/>
        </w:rPr>
        <w:t>e</w:t>
      </w:r>
      <w:r w:rsidRPr="00A94A6C">
        <w:rPr>
          <w:rFonts w:ascii="Trebuchet MS" w:hAnsi="Trebuchet MS"/>
          <w:b/>
          <w:color w:val="00B050"/>
        </w:rPr>
        <w:t xml:space="preserve"> </w:t>
      </w:r>
      <w:proofErr w:type="spellStart"/>
      <w:r w:rsidRPr="00A94A6C">
        <w:rPr>
          <w:rFonts w:ascii="Trebuchet MS" w:hAnsi="Trebuchet MS"/>
          <w:b/>
          <w:i/>
        </w:rPr>
        <w:t>Come</w:t>
      </w:r>
      <w:r w:rsidRPr="00A94A6C">
        <w:rPr>
          <w:rFonts w:ascii="Trebuchet MS" w:hAnsi="Trebuchet MS"/>
          <w:b/>
          <w:i/>
          <w:color w:val="00B050"/>
        </w:rPr>
        <w:t>t</w:t>
      </w:r>
      <w:proofErr w:type="spellEnd"/>
      <w:r w:rsidRPr="00A94A6C">
        <w:rPr>
          <w:rFonts w:ascii="Trebuchet MS" w:hAnsi="Trebuchet MS" w:cstheme="minorHAnsi"/>
          <w:b/>
          <w:vertAlign w:val="superscript"/>
        </w:rPr>
        <w:t>©</w:t>
      </w:r>
      <w:r w:rsidR="00A94A6C" w:rsidRPr="00A94A6C">
        <w:rPr>
          <w:rFonts w:ascii="Trebuchet MS" w:hAnsi="Trebuchet MS" w:cstheme="minorHAnsi"/>
          <w:b/>
          <w:vertAlign w:val="superscript"/>
        </w:rPr>
        <w:t xml:space="preserve"> </w:t>
      </w:r>
      <w:r w:rsidRPr="00A94A6C">
        <w:rPr>
          <w:rFonts w:ascii="Trebuchet MS" w:hAnsi="Trebuchet MS" w:cs="Traditional Arabic"/>
        </w:rPr>
        <w:t>vous</w:t>
      </w:r>
      <w:r w:rsidRPr="00A94A6C">
        <w:rPr>
          <w:rFonts w:ascii="Trebuchet MS" w:hAnsi="Trebuchet MS" w:cs="Traditional Arabic"/>
          <w:b/>
          <w:bCs/>
        </w:rPr>
        <w:t xml:space="preserve"> dotera </w:t>
      </w:r>
      <w:r w:rsidRPr="00A94A6C">
        <w:rPr>
          <w:rFonts w:ascii="Trebuchet MS" w:hAnsi="Trebuchet MS" w:cs="Traditional Arabic"/>
          <w:color w:val="000000"/>
        </w:rPr>
        <w:t>des Informations commerciales : Formes, présentation, Prix de vente public, Prix de référence CNAM ….</w:t>
      </w:r>
      <w:r w:rsidRPr="00A94A6C">
        <w:rPr>
          <w:rFonts w:ascii="Trebuchet MS" w:hAnsi="Trebuchet MS" w:cs="Traditional Arabic"/>
          <w:color w:val="FF0000"/>
        </w:rPr>
        <w:t xml:space="preserve">  </w:t>
      </w:r>
    </w:p>
    <w:p w:rsidR="00502DCE" w:rsidRPr="00A94A6C" w:rsidRDefault="00502DCE" w:rsidP="00502DCE">
      <w:pPr>
        <w:ind w:left="360"/>
        <w:jc w:val="both"/>
        <w:rPr>
          <w:rFonts w:ascii="Trebuchet MS" w:hAnsi="Trebuchet MS" w:cs="Traditional Arabic"/>
        </w:rPr>
      </w:pPr>
    </w:p>
    <w:p w:rsidR="00502DCE" w:rsidRPr="00A94A6C" w:rsidRDefault="00502DCE" w:rsidP="00502DCE">
      <w:pPr>
        <w:jc w:val="both"/>
        <w:rPr>
          <w:rFonts w:ascii="Trebuchet MS" w:hAnsi="Trebuchet MS" w:cs="Traditional Arabic"/>
        </w:rPr>
      </w:pPr>
      <w:r w:rsidRPr="00A94A6C">
        <w:rPr>
          <w:rFonts w:ascii="Trebuchet MS" w:hAnsi="Trebuchet MS" w:cs="Traditional Arabic"/>
        </w:rPr>
        <w:t xml:space="preserve">La recherche dans </w:t>
      </w:r>
      <w:r w:rsidRPr="00A94A6C">
        <w:rPr>
          <w:rFonts w:ascii="Trebuchet MS" w:hAnsi="Trebuchet MS"/>
          <w:b/>
        </w:rPr>
        <w:t>le</w:t>
      </w:r>
      <w:r w:rsidRPr="00A94A6C">
        <w:rPr>
          <w:rFonts w:ascii="Trebuchet MS" w:hAnsi="Trebuchet MS"/>
          <w:b/>
          <w:color w:val="00B050"/>
        </w:rPr>
        <w:t xml:space="preserve"> </w:t>
      </w:r>
      <w:proofErr w:type="spellStart"/>
      <w:r w:rsidRPr="00A94A6C">
        <w:rPr>
          <w:rFonts w:ascii="Trebuchet MS" w:hAnsi="Trebuchet MS"/>
          <w:b/>
          <w:i/>
        </w:rPr>
        <w:t>Come</w:t>
      </w:r>
      <w:r w:rsidRPr="00A94A6C">
        <w:rPr>
          <w:rFonts w:ascii="Trebuchet MS" w:hAnsi="Trebuchet MS"/>
          <w:b/>
          <w:i/>
          <w:color w:val="00B050"/>
        </w:rPr>
        <w:t>t</w:t>
      </w:r>
      <w:proofErr w:type="spellEnd"/>
      <w:r w:rsidRPr="00A94A6C">
        <w:rPr>
          <w:rFonts w:ascii="Trebuchet MS" w:hAnsi="Trebuchet MS" w:cstheme="minorHAnsi"/>
          <w:b/>
          <w:vertAlign w:val="superscript"/>
        </w:rPr>
        <w:t>©</w:t>
      </w:r>
      <w:r w:rsidRPr="00A94A6C">
        <w:rPr>
          <w:rFonts w:ascii="Trebuchet MS" w:hAnsi="Trebuchet MS" w:cstheme="minorHAnsi"/>
          <w:b/>
          <w:vertAlign w:val="superscript"/>
        </w:rPr>
        <w:t xml:space="preserve"> </w:t>
      </w:r>
      <w:r w:rsidRPr="00A94A6C">
        <w:rPr>
          <w:rFonts w:ascii="Trebuchet MS" w:hAnsi="Trebuchet MS" w:cs="Traditional Arabic"/>
        </w:rPr>
        <w:t>peut se faire par plusieurs entrées (Nom commercial, DCI, Classe Thérapeutique, Pathologies, Code à barre…)</w:t>
      </w:r>
    </w:p>
    <w:p w:rsidR="00550446" w:rsidRPr="00A94A6C" w:rsidRDefault="00550446">
      <w:pPr>
        <w:rPr>
          <w:rFonts w:ascii="Trebuchet MS" w:hAnsi="Trebuchet MS"/>
        </w:rPr>
      </w:pPr>
    </w:p>
    <w:sectPr w:rsidR="00550446" w:rsidRPr="00A94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47C7"/>
    <w:multiLevelType w:val="hybridMultilevel"/>
    <w:tmpl w:val="1D3E183A"/>
    <w:lvl w:ilvl="0" w:tplc="D9E0FF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CE"/>
    <w:rsid w:val="00502DCE"/>
    <w:rsid w:val="00550446"/>
    <w:rsid w:val="00A9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3D1E"/>
  <w15:chartTrackingRefBased/>
  <w15:docId w15:val="{56EE2734-BD72-4C5C-BB77-B390F494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94A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DCE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A94A6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94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2020-04-05T10:15:00Z</dcterms:created>
  <dcterms:modified xsi:type="dcterms:W3CDTF">2020-04-05T10:32:00Z</dcterms:modified>
</cp:coreProperties>
</file>