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Graphic Designer LUCA</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Creative lead with 20+ years in graphic design and 15 in art direction for brands like Microsoft, Nikon and Yokogawa. Delivered across 12 European countries, 25,000+ product visuals, and 50+ multi-channel campaigns. Fluent in brand identity, UX/UI, print and video, with generative AI built into production rather than bolted on.</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Graphic Design &amp; Art Direction</w:t>
      </w:r>
    </w:p>
    <w:p>
      <w:pPr>
        <w:pStyle w:val="ListBullet"/>
        <w:spacing w:before="0" w:after="40"/>
        <w:ind w:left="283"/>
      </w:pPr>
      <w:r>
        <w:rPr>
          <w:rFonts w:ascii="Calibri" w:hAnsi="Calibri"/>
          <w:sz w:val="20"/>
        </w:rPr>
        <w:t>Adobe Creative Cloud</w:t>
      </w:r>
    </w:p>
    <w:p>
      <w:pPr>
        <w:pStyle w:val="ListBullet"/>
        <w:spacing w:before="0" w:after="40"/>
        <w:ind w:left="283"/>
      </w:pPr>
      <w:r>
        <w:rPr>
          <w:rFonts w:ascii="Calibri" w:hAnsi="Calibri"/>
          <w:sz w:val="20"/>
        </w:rPr>
        <w:t>Brand Identity Systems</w:t>
      </w:r>
    </w:p>
    <w:p>
      <w:pPr>
        <w:pStyle w:val="ListBullet"/>
        <w:spacing w:before="0" w:after="40"/>
        <w:ind w:left="283"/>
      </w:pPr>
      <w:r>
        <w:rPr>
          <w:rFonts w:ascii="Calibri" w:hAnsi="Calibri"/>
          <w:sz w:val="20"/>
        </w:rPr>
        <w:t>UX/UI Design</w:t>
      </w:r>
    </w:p>
    <w:p>
      <w:pPr>
        <w:pStyle w:val="ListBullet"/>
        <w:spacing w:before="0" w:after="40"/>
        <w:ind w:left="283"/>
      </w:pPr>
      <w:r>
        <w:rPr>
          <w:rFonts w:ascii="Calibri" w:hAnsi="Calibri"/>
          <w:sz w:val="20"/>
        </w:rPr>
        <w:t>Figma</w:t>
      </w:r>
    </w:p>
    <w:p>
      <w:pPr>
        <w:pStyle w:val="ListBullet"/>
        <w:spacing w:before="0" w:after="40"/>
        <w:ind w:left="283"/>
      </w:pPr>
      <w:r>
        <w:rPr>
          <w:rFonts w:ascii="Calibri" w:hAnsi="Calibri"/>
          <w:sz w:val="20"/>
        </w:rPr>
        <w:t>Creative Direction</w:t>
      </w:r>
    </w:p>
    <w:p>
      <w:pPr>
        <w:pStyle w:val="ListBullet"/>
        <w:spacing w:before="0" w:after="40"/>
        <w:ind w:left="283"/>
      </w:pPr>
      <w:r>
        <w:rPr>
          <w:rFonts w:ascii="Calibri" w:hAnsi="Calibri"/>
          <w:sz w:val="20"/>
        </w:rPr>
        <w:t>Client Relations</w:t>
      </w:r>
    </w:p>
    <w:p>
      <w:pPr>
        <w:pStyle w:val="ListBullet"/>
        <w:spacing w:before="0" w:after="40"/>
        <w:ind w:left="283"/>
      </w:pPr>
      <w:r>
        <w:rPr>
          <w:rFonts w:ascii="Calibri" w:hAnsi="Calibri"/>
          <w:sz w:val="20"/>
        </w:rPr>
        <w:t>Team Leadership</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Cross-Market Delivery:</w:t>
      </w:r>
      <w:r>
        <w:rPr>
          <w:rFonts w:ascii="Calibri" w:hAnsi="Calibri"/>
          <w:sz w:val="20"/>
        </w:rPr>
        <w:t xml:space="preserve"> Built unified corporate visual systems, presentation standards and video concepts deployed across 12 European countries for Yokogawa Europe.</w:t>
      </w:r>
    </w:p>
    <w:p>
      <w:pPr>
        <w:spacing w:before="0" w:after="80"/>
      </w:pPr>
      <w:r>
        <w:rPr>
          <w:rFonts w:ascii="Calibri" w:hAnsi="Calibri"/>
          <w:b/>
          <w:sz w:val="20"/>
        </w:rPr>
        <w:t>Enterprise Scale:</w:t>
      </w:r>
      <w:r>
        <w:rPr>
          <w:rFonts w:ascii="Calibri" w:hAnsi="Calibri"/>
          <w:sz w:val="20"/>
        </w:rPr>
        <w:t xml:space="preserve"> Designed proposal and visual systems for 20+ global enterprise clients at Microsoft PCoE, supporting an 80-85% win rate with 90%+ WCAG compliance.</w:t>
      </w:r>
    </w:p>
    <w:p>
      <w:pPr>
        <w:spacing w:before="0" w:after="80"/>
      </w:pPr>
      <w:r>
        <w:rPr>
          <w:rFonts w:ascii="Calibri" w:hAnsi="Calibri"/>
          <w:b/>
          <w:sz w:val="20"/>
        </w:rPr>
        <w:t>Asset Volume:</w:t>
      </w:r>
      <w:r>
        <w:rPr>
          <w:rFonts w:ascii="Calibri" w:hAnsi="Calibri"/>
          <w:sz w:val="20"/>
        </w:rPr>
        <w:t xml:space="preserve"> Post-processed 25,000+ product visuals for MADE.COM 5-country e-commerce launch in a 3-month window with 100% on-time delivery.</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LUCA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one coherent system instead of fragmented execution.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