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465,985 city-month-offense observations</w:t>
      </w:r>
      <w:r>
        <w:t xml:space="preserve"> </w:t>
      </w:r>
      <w:r>
        <w:t xml:space="preserve">from 590 RTCI cities, covering 7 offenses</w:t>
      </w:r>
      <w:r>
        <w:t xml:space="preserve"> </w:t>
      </w:r>
      <w:r>
        <w:t xml:space="preserve">from January 2017 through June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21, 2026 at 16:31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590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590 cities,</w:t>
      </w:r>
      <w:r>
        <w:t xml:space="preserve"> </w:t>
      </w:r>
      <w:r>
        <w:t xml:space="preserve">465,985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June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57.0%, murder by</w:t>
      </w:r>
      <w:r>
        <w:t xml:space="preserve"> </w:t>
      </w:r>
      <w:r>
        <w:t xml:space="preserve">37.6%, and theft by</w:t>
      </w:r>
      <w:r>
        <w:t xml:space="preserve"> </w:t>
      </w:r>
      <w:r>
        <w:t xml:space="preserve">33.0%. Assault was the exception:</w:t>
      </w:r>
      <w:r>
        <w:t xml:space="preserve"> </w:t>
      </w:r>
      <w:r>
        <w:t xml:space="preserve">its fitted global trend ended 7.9%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1.84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21, 2026 at 16:31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0.289; score 3.31)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0.250; score 2.97)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0.784; score 4.60)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0.675;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0.562; score 4.15)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0.394; score 3.13)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0.851; score 4.77)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Murrieta, CA (RMS 0.577; score 3.71)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0.551; score 3.90)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Wright, MN (RMS 0.438;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0.582; score 5.14)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0.896; score 4.62)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0.064; score 3.69)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0.054;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0.051; score 4.11)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0.108;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 George’s, MD (RMS 0.065; score 2.85)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0.065;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0.053; score 3.09)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0.095; score 3.74)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0.118;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0.080; score 3.06)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0.067; score 3.78)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Kalamazoo, MI (RMS 0.063; score 3.53)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Lubbock,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June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Philadelphia, PA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Vallejo,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Nashville,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Hidalgo,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Collierville,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Pasadena,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Diego,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Omaha, 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658.5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590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2026-08-24T13:02:53Z</dcterms:created>
  <dcterms:modified xsi:type="dcterms:W3CDTF">2026-08-24T13:02:53Z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