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458,392 city-month-offense observations</w:t>
      </w:r>
      <w:r>
        <w:t xml:space="preserve"> </w:t>
      </w:r>
      <w:r>
        <w:t xml:space="preserve">from 586 RTCI cities, covering 7 offenses</w:t>
      </w:r>
      <w:r>
        <w:t xml:space="preserve"> </w:t>
      </w:r>
      <w:r>
        <w:t xml:space="preserve">from January 2017 through May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15, 2026 at 21:26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586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586 cities,</w:t>
      </w:r>
      <w:r>
        <w:t xml:space="preserve"> </w:t>
      </w:r>
      <w:r>
        <w:t xml:space="preserve">458,392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May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56.5%, murder by</w:t>
      </w:r>
      <w:r>
        <w:t xml:space="preserve"> </w:t>
      </w:r>
      <w:r>
        <w:t xml:space="preserve">35.9%, and theft by</w:t>
      </w:r>
      <w:r>
        <w:t xml:space="preserve"> </w:t>
      </w:r>
      <w:r>
        <w:t xml:space="preserve">32.5%. Assault was the exception:</w:t>
      </w:r>
      <w:r>
        <w:t xml:space="preserve"> </w:t>
      </w:r>
      <w:r>
        <w:t xml:space="preserve">its fitted global trend ended 9.3%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1.83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15, 2026 at 21:26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0.287; score 3.58)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Baltimore, MD (RMS 0.237; score 3.14)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0.787; score 4.58)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0.684;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0.561;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0.398; score 3.18)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0.855; score 4.82)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Euclid, OH (RMS 0.596; score 3.82)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 Mateo, CA (RMS 0.574; score 4.06)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0.554; score 3.96)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0.574; score 5.08)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0.900; score 4.75)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0.065; score 3.79)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0.051;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0.048; score 4.18)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0.109; score 4.08)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 Lake City, UT (RMS 0.078; score 3.22)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0.069; score 3.91)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0.057;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Utica, NY (RMS 0.097; score 3.94)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0.120; score 4.26)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0.081; score 3.00)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0.069;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Galveston, TX (RMS 0.062; score 3.43)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May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 Louis, MO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Fort Wayne,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Bakersfield,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Little Rock, 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Roanoke,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1375.9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Portsmouth,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Medford, 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Tucson, AZ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538.1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586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111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2026-08-19T14:09:20Z</dcterms:created>
  <dcterms:modified xsi:type="dcterms:W3CDTF">2026-08-19T14:09:20Z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