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gif" ContentType="image/gif"/>
  <Override PartName="/word/media/rId103.gif" ContentType="image/gif"/>
  <Override PartName="/word/media/rId97.gif" ContentType="image/gif"/>
  <Override PartName="/word/media/rId42.png" ContentType="image/png"/>
  <Override PartName="/word/media/rId34.png" ContentType="image/png"/>
  <Override PartName="/word/media/rId29.png" ContentType="image/png"/>
  <Override PartName="/word/media/rId24.png" ContentType="image/png"/>
  <Override PartName="/word/media/rId86.png" ContentType="image/png"/>
  <Override PartName="/word/media/rId90.png" ContentType="image/png"/>
  <Override PartName="/word/media/rId51.png" ContentType="image/png"/>
  <Override PartName="/word/media/rId47.png" ContentType="image/png"/>
  <Override PartName="/word/media/rId76.png" ContentType="image/png"/>
  <Override PartName="/word/media/rId80.png" ContentType="image/png"/>
  <Override PartName="/word/media/rId66.png" ContentType="image/png"/>
  <Override PartName="/word/media/rId70.png" ContentType="image/png"/>
  <Override PartName="/word/media/rId57.png" ContentType="image/png"/>
  <Override PartName="/word/media/rId61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Monthly</w:t>
      </w:r>
      <w:r>
        <w:t xml:space="preserve"> </w:t>
      </w:r>
      <w:r>
        <w:t xml:space="preserve">crime</w:t>
      </w:r>
      <w:r>
        <w:t xml:space="preserve"> </w:t>
      </w:r>
      <w:r>
        <w:t xml:space="preserve">trends:</w:t>
      </w:r>
      <w:r>
        <w:t xml:space="preserve"> </w:t>
      </w:r>
      <w:r>
        <w:t xml:space="preserve">global</w:t>
      </w:r>
      <w:r>
        <w:t xml:space="preserve"> </w:t>
      </w:r>
      <w:r>
        <w:t xml:space="preserve">patterns</w:t>
      </w:r>
      <w:r>
        <w:t xml:space="preserve"> </w:t>
      </w:r>
      <w:r>
        <w:t xml:space="preserve">and</w:t>
      </w:r>
      <w:r>
        <w:t xml:space="preserve"> </w:t>
      </w:r>
      <w:r>
        <w:t xml:space="preserve">city</w:t>
      </w:r>
      <w:r>
        <w:t xml:space="preserve"> </w:t>
      </w:r>
      <w:r>
        <w:t xml:space="preserve">departures</w:t>
      </w:r>
    </w:p>
    <w:p>
      <w:pPr>
        <w:pStyle w:val="Author"/>
      </w:pPr>
      <w:r>
        <w:t xml:space="preserve">Andrew</w:t>
      </w:r>
      <w:r>
        <w:t xml:space="preserve"> </w:t>
      </w:r>
      <w:r>
        <w:t xml:space="preserve">P.</w:t>
      </w:r>
      <w:r>
        <w:t xml:space="preserve"> </w:t>
      </w:r>
      <w:r>
        <w:t xml:space="preserve">Wheeler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Crime</w:t>
      </w:r>
      <w:r>
        <w:t xml:space="preserve"> </w:t>
      </w:r>
      <w:r>
        <w:t xml:space="preserve">trends</w:t>
      </w:r>
      <w:r>
        <w:t xml:space="preserve"> </w:t>
      </w:r>
      <w:r>
        <w:t xml:space="preserve">are</w:t>
      </w:r>
      <w:r>
        <w:t xml:space="preserve"> </w:t>
      </w:r>
      <w:r>
        <w:t xml:space="preserve">commonly</w:t>
      </w:r>
      <w:r>
        <w:t xml:space="preserve"> </w:t>
      </w:r>
      <w:r>
        <w:t xml:space="preserve">summarized</w:t>
      </w:r>
      <w:r>
        <w:t xml:space="preserve"> </w:t>
      </w:r>
      <w:r>
        <w:t xml:space="preserve">by</w:t>
      </w:r>
      <w:r>
        <w:t xml:space="preserve"> </w:t>
      </w:r>
      <w:r>
        <w:t xml:space="preserve">national</w:t>
      </w:r>
      <w:r>
        <w:t xml:space="preserve"> </w:t>
      </w:r>
      <w:r>
        <w:t xml:space="preserve">aggregates</w:t>
      </w:r>
      <w:r>
        <w:t xml:space="preserve"> </w:t>
      </w:r>
      <w:r>
        <w:t xml:space="preserve">or</w:t>
      </w:r>
      <w:r>
        <w:t xml:space="preserve"> </w:t>
      </w:r>
      <w:r>
        <w:t xml:space="preserve">short-term</w:t>
      </w:r>
      <w:r>
        <w:t xml:space="preserve"> </w:t>
      </w:r>
      <w:r>
        <w:t xml:space="preserve">percentage</w:t>
      </w:r>
      <w:r>
        <w:t xml:space="preserve"> </w:t>
      </w:r>
      <w:r>
        <w:t xml:space="preserve">changes,</w:t>
      </w:r>
      <w:r>
        <w:t xml:space="preserve"> </w:t>
      </w:r>
      <w:r>
        <w:t xml:space="preserve">both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can</w:t>
      </w:r>
      <w:r>
        <w:t xml:space="preserve"> </w:t>
      </w:r>
      <w:r>
        <w:t xml:space="preserve">obscure</w:t>
      </w:r>
      <w:r>
        <w:t xml:space="preserve"> </w:t>
      </w:r>
      <w:r>
        <w:t xml:space="preserve">sustained</w:t>
      </w:r>
      <w:r>
        <w:t xml:space="preserve"> </w:t>
      </w:r>
      <w:r>
        <w:t xml:space="preserve">local</w:t>
      </w:r>
      <w:r>
        <w:t xml:space="preserve"> </w:t>
      </w:r>
      <w:r>
        <w:t xml:space="preserve">departures</w:t>
      </w:r>
      <w:r>
        <w:t xml:space="preserve"> </w:t>
      </w:r>
      <w:r>
        <w:t xml:space="preserve">and</w:t>
      </w:r>
      <w:r>
        <w:t xml:space="preserve"> </w:t>
      </w:r>
      <w:r>
        <w:t xml:space="preserve">overstate</w:t>
      </w:r>
      <w:r>
        <w:t xml:space="preserve"> </w:t>
      </w:r>
      <w:r>
        <w:t xml:space="preserve">ordinary</w:t>
      </w:r>
      <w:r>
        <w:t xml:space="preserve"> </w:t>
      </w:r>
      <w:r>
        <w:t xml:space="preserve">variation.</w:t>
      </w:r>
      <w:r>
        <w:t xml:space="preserve"> </w:t>
      </w:r>
      <w:r>
        <w:t xml:space="preserve">This</w:t>
      </w:r>
      <w:r>
        <w:t xml:space="preserve"> </w:t>
      </w:r>
      <w:r>
        <w:t xml:space="preserve">paper</w:t>
      </w:r>
      <w:r>
        <w:t xml:space="preserve"> </w:t>
      </w:r>
      <w:r>
        <w:t xml:space="preserve">decomposes</w:t>
      </w:r>
      <w:r>
        <w:t xml:space="preserve"> </w:t>
      </w:r>
      <w:r>
        <w:t xml:space="preserve">monthly</w:t>
      </w:r>
      <w:r>
        <w:t xml:space="preserve"> </w:t>
      </w:r>
      <w:r>
        <w:t xml:space="preserve">reported</w:t>
      </w:r>
      <w:r>
        <w:t xml:space="preserve"> </w:t>
      </w:r>
      <w:r>
        <w:t xml:space="preserve">crime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Real-Time</w:t>
      </w:r>
      <w:r>
        <w:t xml:space="preserve"> </w:t>
      </w:r>
      <w:r>
        <w:t xml:space="preserve">Crime</w:t>
      </w:r>
      <w:r>
        <w:t xml:space="preserve"> </w:t>
      </w:r>
      <w:r>
        <w:t xml:space="preserve">Index</w:t>
      </w:r>
      <w:r>
        <w:t xml:space="preserve"> </w:t>
      </w:r>
      <w:r>
        <w:t xml:space="preserve">into</w:t>
      </w:r>
      <w:r>
        <w:t xml:space="preserve"> </w:t>
      </w:r>
      <w:r>
        <w:t xml:space="preserve">a</w:t>
      </w:r>
      <w:r>
        <w:t xml:space="preserve"> </w:t>
      </w:r>
      <w:r>
        <w:t xml:space="preserve">global</w:t>
      </w:r>
      <w:r>
        <w:t xml:space="preserve"> </w:t>
      </w:r>
      <w:r>
        <w:t xml:space="preserve">nonlinear</w:t>
      </w:r>
      <w:r>
        <w:t xml:space="preserve"> </w:t>
      </w:r>
      <w:r>
        <w:t xml:space="preserve">trend,</w:t>
      </w:r>
      <w:r>
        <w:t xml:space="preserve"> </w:t>
      </w:r>
      <w:r>
        <w:t xml:space="preserve">recurring</w:t>
      </w:r>
      <w:r>
        <w:t xml:space="preserve"> </w:t>
      </w:r>
      <w:r>
        <w:t xml:space="preserve">annual</w:t>
      </w:r>
      <w:r>
        <w:t xml:space="preserve"> </w:t>
      </w:r>
      <w:r>
        <w:t xml:space="preserve">seasonality,</w:t>
      </w:r>
      <w:r>
        <w:t xml:space="preserve"> </w:t>
      </w:r>
      <w:r>
        <w:t xml:space="preserve">calendar-month</w:t>
      </w:r>
      <w:r>
        <w:t xml:space="preserve"> </w:t>
      </w:r>
      <w:r>
        <w:t xml:space="preserve">shocks</w:t>
      </w:r>
      <w:r>
        <w:t xml:space="preserve"> </w:t>
      </w:r>
      <w:r>
        <w:t xml:space="preserve">shared</w:t>
      </w:r>
      <w:r>
        <w:t xml:space="preserve"> </w:t>
      </w:r>
      <w:r>
        <w:t xml:space="preserve">across</w:t>
      </w:r>
      <w:r>
        <w:t xml:space="preserve"> </w:t>
      </w:r>
      <w:r>
        <w:t xml:space="preserve">cities,</w:t>
      </w:r>
      <w:r>
        <w:t xml:space="preserve"> </w:t>
      </w:r>
      <w:r>
        <w:t xml:space="preserve">city-specific</w:t>
      </w:r>
      <w:r>
        <w:t xml:space="preserve"> </w:t>
      </w:r>
      <w:r>
        <w:t xml:space="preserve">trend</w:t>
      </w:r>
      <w:r>
        <w:t xml:space="preserve"> </w:t>
      </w:r>
      <w:r>
        <w:t xml:space="preserve">and</w:t>
      </w:r>
      <w:r>
        <w:t xml:space="preserve"> </w:t>
      </w:r>
      <w:r>
        <w:t xml:space="preserve">seasonal</w:t>
      </w:r>
      <w:r>
        <w:t xml:space="preserve"> </w:t>
      </w:r>
      <w:r>
        <w:t xml:space="preserve">departures,</w:t>
      </w:r>
      <w:r>
        <w:t xml:space="preserve"> </w:t>
      </w:r>
      <w:r>
        <w:t xml:space="preserve">and</w:t>
      </w:r>
      <w:r>
        <w:t xml:space="preserve"> </w:t>
      </w:r>
      <w:r>
        <w:t xml:space="preserve">city-month</w:t>
      </w:r>
      <w:r>
        <w:t xml:space="preserve"> </w:t>
      </w:r>
      <w:r>
        <w:t xml:space="preserve">residual</w:t>
      </w:r>
      <w:r>
        <w:t xml:space="preserve"> </w:t>
      </w:r>
      <w:r>
        <w:t xml:space="preserve">variation.</w:t>
      </w:r>
      <w:r>
        <w:t xml:space="preserve"> </w:t>
      </w:r>
      <w:r>
        <w:t xml:space="preserve">Explore</w:t>
      </w:r>
      <w:r>
        <w:t xml:space="preserve"> </w:t>
      </w:r>
      <w:r>
        <w:t xml:space="preserve">the</w:t>
      </w:r>
      <w:r>
        <w:t xml:space="preserve"> </w:t>
      </w:r>
      <w:r>
        <w:t xml:space="preserve">results</w:t>
      </w:r>
      <w:r>
        <w:t xml:space="preserve"> </w:t>
      </w:r>
      <w:r>
        <w:t xml:space="preserve">at</w:t>
      </w:r>
      <w:r>
        <w:t xml:space="preserve"> </w:t>
      </w:r>
      <w:r>
        <w:t xml:space="preserve">https://apwheele.github.io/CrimeDecomp/app/</w:t>
      </w:r>
      <w:r>
        <w:t xml:space="preserve"> </w:t>
      </w:r>
      <w:r>
        <w:t xml:space="preserve">and</w:t>
      </w:r>
      <w:r>
        <w:t xml:space="preserve"> </w:t>
      </w:r>
      <w:r>
        <w:t xml:space="preserve">reproduce</w:t>
      </w:r>
      <w:r>
        <w:t xml:space="preserve"> </w:t>
      </w:r>
      <w:r>
        <w:t xml:space="preserve">the</w:t>
      </w:r>
      <w:r>
        <w:t xml:space="preserve"> </w:t>
      </w:r>
      <w:r>
        <w:t xml:space="preserve">analysis</w:t>
      </w:r>
      <w:r>
        <w:t xml:space="preserve"> </w:t>
      </w:r>
      <w:r>
        <w:t xml:space="preserve">at</w:t>
      </w:r>
      <w:r>
        <w:t xml:space="preserve"> </w:t>
      </w:r>
      <w:r>
        <w:t xml:space="preserve">https://github.com/apwheele/CrimeDecomp.</w:t>
      </w:r>
    </w:p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Crime trends are often summarized with two numbers and a percent change. That</w:t>
      </w:r>
      <w:r>
        <w:t xml:space="preserve"> </w:t>
      </w:r>
      <w:r>
        <w:t xml:space="preserve">is convenient, but it makes normal volatility look important and hides whether</w:t>
      </w:r>
      <w:r>
        <w:t xml:space="preserve"> </w:t>
      </w:r>
      <w:r>
        <w:t xml:space="preserve">a change is temporary or sustained. Prior work has shown how time-series</w:t>
      </w:r>
      <w:r>
        <w:t xml:space="preserve"> </w:t>
      </w:r>
      <w:r>
        <w:t xml:space="preserve">graphs, prediction intervals, and fan charts give a more honest picture of</w:t>
      </w:r>
      <w:r>
        <w:t xml:space="preserve"> </w:t>
      </w:r>
      <w:r>
        <w:t xml:space="preserve">crime trends than binary before-and-after comparisons</w:t>
      </w:r>
      <w:r>
        <w:t xml:space="preserve"> </w:t>
      </w:r>
      <w:r>
        <w:t xml:space="preserve">(</w:t>
      </w:r>
      <w:hyperlink w:anchor="ref-wheeler2016">
        <w:r>
          <w:rPr>
            <w:rStyle w:val="Hyperlink"/>
          </w:rPr>
          <w:t xml:space="preserve">Wheeler 2016</w:t>
        </w:r>
      </w:hyperlink>
      <w:r>
        <w:t xml:space="preserve">;</w:t>
      </w:r>
      <w:r>
        <w:t xml:space="preserve"> </w:t>
      </w:r>
      <w:hyperlink w:anchor="ref-wheeler2018">
        <w:r>
          <w:rPr>
            <w:rStyle w:val="Hyperlink"/>
          </w:rPr>
          <w:t xml:space="preserve">Wheeler and Kovandzic 2018</w:t>
        </w:r>
      </w:hyperlink>
      <w:r>
        <w:t xml:space="preserve">;</w:t>
      </w:r>
      <w:r>
        <w:t xml:space="preserve"> </w:t>
      </w:r>
      <w:hyperlink w:anchor="ref-yim2020">
        <w:r>
          <w:rPr>
            <w:rStyle w:val="Hyperlink"/>
          </w:rPr>
          <w:t xml:space="preserve">Yim, Riddell, and Wheeler 2020</w:t>
        </w:r>
      </w:hyperlink>
      <w:r>
        <w:t xml:space="preserve">)</w:t>
      </w:r>
      <w:r>
        <w:t xml:space="preserve">. Those tools answer whether a recent observation is</w:t>
      </w:r>
      <w:r>
        <w:t xml:space="preserve"> </w:t>
      </w:r>
      <w:r>
        <w:t xml:space="preserve">unusual. Here I address a related question:</w:t>
      </w:r>
      <w:r>
        <w:t xml:space="preserve"> </w:t>
      </w:r>
      <w:r>
        <w:rPr>
          <w:iCs/>
          <w:i/>
        </w:rPr>
        <w:t xml:space="preserve">what part of a city’s change is</w:t>
      </w:r>
      <w:r>
        <w:rPr>
          <w:iCs/>
          <w:i/>
        </w:rPr>
        <w:t xml:space="preserve"> </w:t>
      </w:r>
      <w:r>
        <w:rPr>
          <w:iCs/>
          <w:i/>
        </w:rPr>
        <w:t xml:space="preserve">shared with other cities, and what part is local?</w:t>
      </w:r>
    </w:p>
    <w:p>
      <w:pPr>
        <w:pStyle w:val="BodyText"/>
      </w:pPr>
      <w:r>
        <w:t xml:space="preserve">There are at least three patterns worth separating. Crime can follow a gradual</w:t>
      </w:r>
      <w:r>
        <w:t xml:space="preserve"> </w:t>
      </w:r>
      <w:r>
        <w:t xml:space="preserve">trend shared across the country, a city can have a persistently different</w:t>
      </w:r>
      <w:r>
        <w:t xml:space="preserve"> </w:t>
      </w:r>
      <w:r>
        <w:t xml:space="preserve">trajectory or seasonal pattern, and an individual month can depart sharply</w:t>
      </w:r>
      <w:r>
        <w:t xml:space="preserve"> </w:t>
      </w:r>
      <w:r>
        <w:t xml:space="preserve">from both. Lumping those patterns into one residual term makes a short-lived</w:t>
      </w:r>
      <w:r>
        <w:t xml:space="preserve"> </w:t>
      </w:r>
      <w:r>
        <w:t xml:space="preserve">spike look like a new trend (or smooths away a local trend that is actually</w:t>
      </w:r>
      <w:r>
        <w:t xml:space="preserve"> </w:t>
      </w:r>
      <w:r>
        <w:t xml:space="preserve">different).</w:t>
      </w:r>
    </w:p>
    <w:p>
      <w:pPr>
        <w:pStyle w:val="BodyText"/>
      </w:pPr>
      <w:r>
        <w:t xml:space="preserve">I use monthly reported crime from the Real-Time Crime Index (RTCI)</w:t>
      </w:r>
      <w:r>
        <w:t xml:space="preserve"> </w:t>
      </w:r>
      <w:r>
        <w:t xml:space="preserve">(</w:t>
      </w:r>
      <w:hyperlink w:anchor="ref-rtci">
        <w:r>
          <w:rPr>
            <w:rStyle w:val="Hyperlink"/>
          </w:rPr>
          <w:t xml:space="preserve">AH Datalytics 2026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fit a hierarchical binomial model separately for 7</w:t>
      </w:r>
      <w:r>
        <w:t xml:space="preserve"> </w:t>
      </w:r>
      <w:r>
        <w:t xml:space="preserve">offenses. The model has</w:t>
      </w:r>
      <w:r>
        <w:t xml:space="preserve"> </w:t>
      </w:r>
      <w:r>
        <w:t xml:space="preserve">a smooth trend and seasonal pattern shared across the sample, but it also gives</w:t>
      </w:r>
      <w:r>
        <w:t xml:space="preserve"> </w:t>
      </w:r>
      <w:r>
        <w:t xml:space="preserve">every city its own partially pooled trend and season. Two additional terms</w:t>
      </w:r>
      <w:r>
        <w:t xml:space="preserve"> </w:t>
      </w:r>
      <w:r>
        <w:t xml:space="preserve">separate monthly movement shared by all cities from the remaining city-month</w:t>
      </w:r>
      <w:r>
        <w:t xml:space="preserve"> </w:t>
      </w:r>
      <w:r>
        <w:t xml:space="preserve">variation.</w:t>
      </w:r>
    </w:p>
    <w:p>
      <w:pPr>
        <w:pStyle w:val="BodyText"/>
      </w:pPr>
      <w:r>
        <w:t xml:space="preserve">The goal is descriptive. The model provides a practical way to compare the</w:t>
      </w:r>
      <w:r>
        <w:t xml:space="preserve"> </w:t>
      </w:r>
      <w:r>
        <w:t xml:space="preserve">national pattern, sustained city departures, and unusual months. It is not a</w:t>
      </w:r>
      <w:r>
        <w:t xml:space="preserve"> </w:t>
      </w:r>
      <w:r>
        <w:t xml:space="preserve">test of why crime changed, and it is not a forecasting model.</w:t>
      </w:r>
    </w:p>
    <w:bookmarkEnd w:id="20"/>
    <w:bookmarkStart w:id="21" w:name="data-and-rate-construction"/>
    <w:p>
      <w:pPr>
        <w:pStyle w:val="Heading1"/>
      </w:pPr>
      <w:r>
        <w:t xml:space="preserve">Data and rate construction</w:t>
      </w:r>
    </w:p>
    <w:p>
      <w:pPr>
        <w:pStyle w:val="FirstParagraph"/>
      </w:pPr>
      <w:r>
        <w:t xml:space="preserve">I use 439,016 city-month-offense observations</w:t>
      </w:r>
      <w:r>
        <w:t xml:space="preserve"> </w:t>
      </w:r>
      <w:r>
        <w:t xml:space="preserve">from 547 RTCI cities, covering 7 offenses</w:t>
      </w:r>
      <w:r>
        <w:t xml:space="preserve"> </w:t>
      </w:r>
      <w:r>
        <w:t xml:space="preserve">from January 2017 through August 2026. I do not impose a population threshold.</w:t>
      </w:r>
      <w:r>
        <w:t xml:space="preserve"> </w:t>
      </w:r>
      <w:r>
        <w:t xml:space="preserve">For the figures, a monthly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population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displayed as</w:t>
      </w:r>
      <w:r>
        <w:t xml:space="preserve"> </w:t>
      </w:r>
      <m:oMath>
        <m:r>
          <m:t>12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. This is an annualized rate per 100,000: it preserves the</w:t>
      </w:r>
      <w:r>
        <w:t xml:space="preserve"> </w:t>
      </w:r>
      <w:r>
        <w:t xml:space="preserve">observed monthly count but puts cities on a familiar scale.</w:t>
      </w:r>
    </w:p>
    <w:p>
      <w:pPr>
        <w:pStyle w:val="BodyText"/>
      </w:pPr>
      <w:r>
        <w:t xml:space="preserve">The upstream files used for this build were downloaded on</w:t>
      </w:r>
      <w:r>
        <w:t xml:space="preserve"> </w:t>
      </w:r>
      <w:r>
        <w:t xml:space="preserve">October 16, 2026 at 14:00 UTC. Before rendering, the workflow checks the current</w:t>
      </w:r>
      <w:r>
        <w:t xml:space="preserve"> </w:t>
      </w:r>
      <w:r>
        <w:t xml:space="preserve">RTCI file revisions and atomically replaces only source files whose contents</w:t>
      </w:r>
      <w:r>
        <w:t xml:space="preserve"> </w:t>
      </w:r>
      <w:r>
        <w:t xml:space="preserve">changed. A content-signature change triggers the sequential model workflow;</w:t>
      </w:r>
      <w:r>
        <w:t xml:space="preserve"> </w:t>
      </w:r>
      <w:r>
        <w:t xml:space="preserve">otherwise the validated checkpoints are reused. Exact upstream revisions and</w:t>
      </w:r>
      <w:r>
        <w:t xml:space="preserve"> </w:t>
      </w:r>
      <w:r>
        <w:t xml:space="preserve">local checksums are stored with the source metadata and city crosswalk. This</w:t>
      </w:r>
      <w:r>
        <w:t xml:space="preserve"> </w:t>
      </w:r>
      <w:r>
        <w:t xml:space="preserve">keeps the paper and application reproducible while separating reported counts</w:t>
      </w:r>
      <w:r>
        <w:t xml:space="preserve"> </w:t>
      </w:r>
      <w:r>
        <w:t xml:space="preserve">from model-generated output. Data preparation uses R and the tidyverse</w:t>
      </w:r>
      <w:r>
        <w:t xml:space="preserve"> </w:t>
      </w:r>
      <w:r>
        <w:t xml:space="preserve">(</w:t>
      </w:r>
      <w:hyperlink w:anchor="ref-R2026">
        <w:r>
          <w:rPr>
            <w:rStyle w:val="Hyperlink"/>
          </w:rPr>
          <w:t xml:space="preserve">R Core Team 2026</w:t>
        </w:r>
      </w:hyperlink>
      <w:r>
        <w:t xml:space="preserve">;</w:t>
      </w:r>
      <w:r>
        <w:t xml:space="preserve"> </w:t>
      </w:r>
      <w:hyperlink w:anchor="ref-tidyverse2019">
        <w:r>
          <w:rPr>
            <w:rStyle w:val="Hyperlink"/>
          </w:rPr>
          <w:t xml:space="preserve">Wickham et al. 2019</w:t>
        </w:r>
      </w:hyperlink>
      <w:r>
        <w:t xml:space="preserve">)</w:t>
      </w:r>
      <w:r>
        <w:t xml:space="preserve">.</w:t>
      </w:r>
    </w:p>
    <w:bookmarkEnd w:id="21"/>
    <w:bookmarkStart w:id="23" w:name="model"/>
    <w:p>
      <w:pPr>
        <w:pStyle w:val="Heading1"/>
      </w:pPr>
      <w:r>
        <w:t xml:space="preserve">Model</w:t>
      </w:r>
    </w:p>
    <w:p>
      <w:pPr>
        <w:pStyle w:val="FirstParagraph"/>
      </w:pPr>
      <w:r>
        <w:t xml:space="preserve">The practical goal is to distinguish level, trend, season, common monthly</w:t>
      </w:r>
      <w:r>
        <w:t xml:space="preserve"> </w:t>
      </w:r>
      <w:r>
        <w:t xml:space="preserve">movement, and local monthly noise. I fit a separate aggregated-binomial</w:t>
      </w:r>
      <w:r>
        <w:t xml:space="preserve"> </w:t>
      </w:r>
      <w:r>
        <w:t xml:space="preserve">generalized linear mixed model for each offense. This is equivalent to a</w:t>
      </w:r>
      <w:r>
        <w:t xml:space="preserve"> </w:t>
      </w:r>
      <w:r>
        <w:t xml:space="preserve">stacked model with no coefficients shared across offenses, but it avoids</w:t>
      </w:r>
      <w:r>
        <w:t xml:space="preserve"> </w:t>
      </w:r>
      <w:r>
        <w:t xml:space="preserve">building all 7 random-effect systems at the same time. For city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month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</m:rPr>
            <m:t>B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</m:t>
          </m:r>
          <m:r>
            <m:rPr>
              <m:sty m:val="p"/>
            </m:rPr>
            <m:t>o</m:t>
          </m:r>
          <m:r>
            <m:rPr>
              <m:sty m:val="p"/>
            </m:rPr>
            <m:t>g</m:t>
          </m:r>
          <m:r>
            <m:rPr>
              <m:sty m:val="p"/>
            </m:rPr>
            <m:t>i</m:t>
          </m:r>
          <m:r>
            <m:rPr>
              <m:sty m:val="p"/>
            </m:rPr>
            <m:t>t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r>
            <m:rPr>
              <m:sty m:val="b"/>
            </m:rPr>
            <m:t>B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  <m:sup>
              <m:r>
                <m:rPr>
                  <m:sty m:val="p"/>
                  <m:scr m:val="sans-serif"/>
                </m:rPr>
                <m:t>T</m:t>
              </m:r>
            </m:sup>
          </m:sSup>
          <m:r>
            <m:rPr>
              <m:sty m:val="b"/>
            </m:rPr>
            <m:t>β</m:t>
          </m:r>
          <m:r>
            <m:rPr>
              <m:sty m:val="p"/>
            </m:rPr>
            <m:t>+</m:t>
          </m:r>
          <m:r>
            <m:rPr>
              <m:sty m:val="b"/>
            </m:rPr>
            <m:t>F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e>
            <m:sup>
              <m:r>
                <m:rPr>
                  <m:sty m:val="p"/>
                  <m:scr m:val="sans-serif"/>
                </m:rPr>
                <m:t>T</m:t>
              </m:r>
            </m:sup>
          </m:sSup>
          <m:r>
            <m:rPr>
              <m:sty m:val="b"/>
            </m:rPr>
            <m:t>γ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rPr>
              <m:sty m:val="b"/>
            </m:rPr>
            <m:t>B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  <m:sup>
              <m:r>
                <m:rPr>
                  <m:sty m:val="p"/>
                  <m:scr m:val="sans-serif"/>
                </m:rPr>
                <m:t>T</m:t>
              </m:r>
            </m:sup>
          </m:sSup>
          <m:sSub>
            <m:e>
              <m:r>
                <m:rPr>
                  <m:sty m:val="b"/>
                </m:rP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rPr>
              <m:sty m:val="b"/>
            </m:rPr>
            <m:t>F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e>
            <m:sup>
              <m:r>
                <m:rPr>
                  <m:sty m:val="p"/>
                  <m:scr m:val="sans-serif"/>
                </m:rPr>
                <m:t>T</m:t>
              </m:r>
            </m:sup>
          </m:sSup>
          <m:sSub>
            <m:e>
              <m:r>
                <m:rPr>
                  <m:sty m:val="b"/>
                </m:rP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global intercept is</w:t>
      </w:r>
      <w:r>
        <w:t xml:space="preserve"> </w:t>
      </w:r>
      <m:oMath>
        <m:r>
          <m:t>α</m:t>
        </m:r>
      </m:oMath>
      <w:r>
        <w:t xml:space="preserve">. The vector</w:t>
      </w:r>
      <w:r>
        <w:t xml:space="preserve"> </w:t>
      </w:r>
      <m:oMath>
        <m:r>
          <m:rPr>
            <m:sty m:val="b"/>
          </m:rPr>
          <m:t>B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contains five</w:t>
      </w:r>
      <w:r>
        <w:t xml:space="preserve"> </w:t>
      </w:r>
      <w:r>
        <w:t xml:space="preserve">natural cubic spline basis functions evaluated at time</w:t>
      </w:r>
      <w:r>
        <w:t xml:space="preserve"> </w:t>
      </w:r>
      <m:oMath>
        <m:r>
          <m:t>t</m:t>
        </m:r>
      </m:oMath>
      <w:r>
        <w:t xml:space="preserve">, with boundary and</w:t>
      </w:r>
      <w:r>
        <w:t xml:space="preserve"> </w:t>
      </w:r>
      <w:r>
        <w:t xml:space="preserve">interior knots fixed from the complete analysis period. Its fixed coefficients</w:t>
      </w:r>
      <w:r>
        <w:t xml:space="preserve"> </w:t>
      </w:r>
      <m:oMath>
        <m:r>
          <m:rPr>
            <m:sty m:val="b"/>
          </m:rPr>
          <m:t>β</m:t>
        </m:r>
      </m:oMath>
      <w:r>
        <w:t xml:space="preserve"> </w:t>
      </w:r>
      <w:r>
        <w:t xml:space="preserve">define the smooth global long-run trajectory. The vector</w:t>
      </w:r>
      <w:r>
        <w:t xml:space="preserve"> </w:t>
      </w:r>
      <m:oMath>
        <m:r>
          <m:rPr>
            <m:sty m:val="b"/>
          </m:rP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m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 </w:t>
      </w:r>
      <w:r>
        <w:t xml:space="preserve">contains sine and cosine pairs for the first three annual</w:t>
      </w:r>
      <w:r>
        <w:t xml:space="preserve"> </w:t>
      </w:r>
      <w:r>
        <w:t xml:space="preserve">harmonics;</w:t>
      </w:r>
      <w:r>
        <w:t xml:space="preserve"> </w:t>
      </w:r>
      <m:oMath>
        <m:r>
          <m:rPr>
            <m:sty m:val="b"/>
          </m:rPr>
          <m:t>γ</m:t>
        </m:r>
      </m:oMath>
      <w:r>
        <w:t xml:space="preserve"> </w:t>
      </w:r>
      <w:r>
        <w:t xml:space="preserve">therefore defines a smooth seasonal curve that</w:t>
      </w:r>
      <w:r>
        <w:t xml:space="preserve"> </w:t>
      </w:r>
      <w:r>
        <w:t xml:space="preserve">joins continuously from December to January. Natural cubic regression splines</w:t>
      </w:r>
      <w:r>
        <w:t xml:space="preserve"> </w:t>
      </w:r>
      <w:r>
        <w:t xml:space="preserve">provide a low-rank representation of gradual change, while paired Fourier terms</w:t>
      </w:r>
      <w:r>
        <w:t xml:space="preserve"> </w:t>
      </w:r>
      <w:r>
        <w:t xml:space="preserve">provide a direct cyclic representation of seasonality</w:t>
      </w:r>
      <w:r>
        <w:t xml:space="preserve"> </w:t>
      </w:r>
      <w:r>
        <w:t xml:space="preserve">(</w:t>
      </w:r>
      <w:hyperlink w:anchor="ref-wood2017">
        <w:r>
          <w:rPr>
            <w:rStyle w:val="Hyperlink"/>
          </w:rPr>
          <w:t xml:space="preserve">S. N. Wood 2017</w:t>
        </w:r>
      </w:hyperlink>
      <w:r>
        <w:t xml:space="preserve">)</w:t>
      </w:r>
      <w:r>
        <w:t xml:space="preserve">.</w:t>
      </w:r>
    </w:p>
    <w:p>
      <w:pPr>
        <w:pStyle w:val="BodyText"/>
      </w:pPr>
      <w:r>
        <w:t xml:space="preserve">The city random intercept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b</m:t>
                </m:r>
              </m:sub>
              <m:sup>
                <m:r>
                  <m:t>2</m:t>
                </m:r>
              </m:sup>
            </m:sSubSup>
          </m:e>
        </m:d>
      </m:oMath>
      <w:r>
        <w:t xml:space="preserve"> </w:t>
      </w:r>
      <w:r>
        <w:t xml:space="preserve">captures persistent</w:t>
      </w:r>
      <w:r>
        <w:t xml:space="preserve"> </w:t>
      </w:r>
      <w:r>
        <w:t xml:space="preserve">between-city differences in level. Each city also has its own trend-basis</w:t>
      </w:r>
      <w:r>
        <w:t xml:space="preserve"> </w:t>
      </w:r>
      <w:r>
        <w:t xml:space="preserve">coefficients</w:t>
      </w:r>
      <w:r>
        <w:t xml:space="preserve"> </w:t>
      </w:r>
      <m:oMath>
        <m:sSub>
          <m:e>
            <m:r>
              <m:rPr>
                <m:sty m:val="b"/>
              </m:rP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seasonal-basis coefficients</w:t>
      </w:r>
      <w:r>
        <w:t xml:space="preserve"> </w:t>
      </w:r>
      <m:oMath>
        <m:sSub>
          <m:e>
            <m:r>
              <m:rPr>
                <m:sty m:val="b"/>
              </m:rPr>
              <m:t>v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u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rPr>
                      <m:sty m:val="b"/>
                    </m:rPr>
                    <m:t>I</m:t>
                  </m:r>
                </m:e>
                <m:sub>
                  <m:r>
                    <m:t>5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v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rPr>
                      <m:sty m:val="b"/>
                    </m:rPr>
                    <m:t>I</m:t>
                  </m:r>
                </m:e>
                <m:sub>
                  <m:r>
                    <m:t>6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city trend is the global trend plus</w:t>
      </w:r>
      <w:r>
        <w:t xml:space="preserve"> </w:t>
      </w:r>
      <m:oMath>
        <m:r>
          <m:rPr>
            <m:sty m:val="b"/>
          </m:rPr>
          <m:t>B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  <m:sup>
            <m:r>
              <m:rPr>
                <m:sty m:val="p"/>
                <m:scr m:val="sans-serif"/>
              </m:rPr>
              <m:t>T</m:t>
            </m:r>
          </m:sup>
        </m:sSup>
        <m:sSub>
          <m:e>
            <m:r>
              <m:rPr>
                <m:sty m:val="b"/>
              </m:rPr>
              <m:t>u</m:t>
            </m:r>
          </m:e>
          <m:sub>
            <m:r>
              <m:t>i</m:t>
            </m:r>
          </m:sub>
        </m:sSub>
      </m:oMath>
      <w:r>
        <w:t xml:space="preserve">, and the city seasonal curve is the</w:t>
      </w:r>
      <w:r>
        <w:t xml:space="preserve"> </w:t>
      </w:r>
      <w:r>
        <w:t xml:space="preserve">global seasonal curve plus</w:t>
      </w:r>
      <w:r>
        <w:t xml:space="preserve"> </w:t>
      </w:r>
      <m:oMath>
        <m:r>
          <m:rPr>
            <m:sty m:val="b"/>
          </m:rPr>
          <m:t>F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t</m:t>
                    </m:r>
                  </m:sub>
                </m:sSub>
              </m:e>
            </m:d>
          </m:e>
          <m:sup>
            <m:r>
              <m:rPr>
                <m:sty m:val="p"/>
                <m:scr m:val="sans-serif"/>
              </m:rPr>
              <m:t>T</m:t>
            </m:r>
          </m:sup>
        </m:sSup>
        <m:sSub>
          <m:e>
            <m:r>
              <m:rPr>
                <m:sty m:val="b"/>
              </m:rPr>
              <m:t>v</m:t>
            </m:r>
          </m:e>
          <m:sub>
            <m:r>
              <m:t>i</m:t>
            </m:r>
          </m:sub>
        </m:sSub>
      </m:oMath>
      <w:r>
        <w:t xml:space="preserve">. These are</w:t>
      </w:r>
      <w:r>
        <w:t xml:space="preserve"> </w:t>
      </w:r>
      <w:r>
        <w:t xml:space="preserve">the city-varying smooth terms: partial pooling shrinks weakly supported</w:t>
      </w:r>
      <w:r>
        <w:t xml:space="preserve"> </w:t>
      </w:r>
      <w:r>
        <w:t xml:space="preserve">departures toward the global curves instead of fitting an unrelated curve to</w:t>
      </w:r>
      <w:r>
        <w:t xml:space="preserve"> </w:t>
      </w:r>
      <w:r>
        <w:t xml:space="preserve">every city. This global-plus-deviation construction follows the logic of</w:t>
      </w:r>
      <w:r>
        <w:t xml:space="preserve"> </w:t>
      </w:r>
      <w:r>
        <w:t xml:space="preserve">factor-smooth comparisons described by</w:t>
      </w:r>
      <w:r>
        <w:t xml:space="preserve"> </w:t>
      </w:r>
      <w:r>
        <w:t xml:space="preserve">Simpson (</w:t>
      </w:r>
      <w:hyperlink w:anchor="ref-simpson2017">
        <w:r>
          <w:rPr>
            <w:rStyle w:val="Hyperlink"/>
          </w:rPr>
          <w:t xml:space="preserve">2017</w:t>
        </w:r>
      </w:hyperlink>
      <w:r>
        <w:t xml:space="preserve">)</w:t>
      </w:r>
      <w:r>
        <w:t xml:space="preserve"> </w:t>
      </w:r>
      <w:r>
        <w:t xml:space="preserve">and hierarchical GAMs more</w:t>
      </w:r>
      <w:r>
        <w:t xml:space="preserve"> </w:t>
      </w:r>
      <w:r>
        <w:t xml:space="preserve">generally</w:t>
      </w:r>
      <w:r>
        <w:t xml:space="preserve"> </w:t>
      </w:r>
      <w:r>
        <w:t xml:space="preserve">(</w:t>
      </w:r>
      <w:hyperlink w:anchor="ref-pedersen2019">
        <w:r>
          <w:rPr>
            <w:rStyle w:val="Hyperlink"/>
          </w:rPr>
          <w:t xml:space="preserve">Pedersen et al. 2019</w:t>
        </w:r>
      </w:hyperlink>
      <w:r>
        <w:t xml:space="preserve">)</w:t>
      </w:r>
      <w:r>
        <w:t xml:space="preserve">, implemented here through explicit low-rank random</w:t>
      </w:r>
      <w:r>
        <w:t xml:space="preserve"> </w:t>
      </w:r>
      <w:r>
        <w:t xml:space="preserve">coefficients.</w:t>
      </w:r>
    </w:p>
    <w:p>
      <w:pPr>
        <w:pStyle w:val="BodyText"/>
      </w:pPr>
      <w:r>
        <w:t xml:space="preserve">The time-period intercept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∼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a</m:t>
                </m:r>
              </m:sub>
              <m:sup>
                <m:r>
                  <m:t>2</m:t>
                </m:r>
              </m:sup>
            </m:sSubSup>
          </m:e>
        </m:d>
      </m:oMath>
      <w:r>
        <w:t xml:space="preserve"> </w:t>
      </w:r>
      <w:r>
        <w:t xml:space="preserve">is shared by all</w:t>
      </w:r>
      <w:r>
        <w:t xml:space="preserve"> </w:t>
      </w:r>
      <w:r>
        <w:t xml:space="preserve">cities observed in month</w:t>
      </w:r>
      <w:r>
        <w:t xml:space="preserve"> </w:t>
      </w:r>
      <m:oMath>
        <m:r>
          <m:t>t</m:t>
        </m:r>
      </m:oMath>
      <w:r>
        <w:t xml:space="preserve">. It captures nonsmooth national monthly departures</w:t>
      </w:r>
      <w:r>
        <w:t xml:space="preserve"> </w:t>
      </w:r>
      <w:r>
        <w:t xml:space="preserve">after the global trend and cyclic seasonal curve have been fitted. The final</w:t>
      </w:r>
      <w:r>
        <w:t xml:space="preserve"> </w:t>
      </w:r>
      <w:r>
        <w:t xml:space="preserve">term is an observation-level random effect,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∼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e</m:t>
                </m:r>
              </m:sub>
              <m:sup>
                <m:r>
                  <m:t>2</m:t>
                </m:r>
              </m:sup>
            </m:sSubSup>
          </m:e>
        </m:d>
      </m:oMath>
      <w:r>
        <w:t xml:space="preserve">, unique to city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 month</w:t>
      </w:r>
      <w:r>
        <w:t xml:space="preserve"> </w:t>
      </w:r>
      <m:oMath>
        <m:r>
          <m:t>t</m:t>
        </m:r>
      </m:oMath>
      <w:r>
        <w:t xml:space="preserve">. It accommodates</w:t>
      </w:r>
      <w:r>
        <w:t xml:space="preserve"> </w:t>
      </w:r>
      <w:r>
        <w:t xml:space="preserve">extra-binomial variation without changing the binomial response distribution.</w:t>
      </w:r>
      <w:r>
        <w:t xml:space="preserve"> </w:t>
      </w:r>
      <w:r>
        <w:t xml:space="preserve">The distinction matters.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moves every city in a given month,</w:t>
      </w:r>
      <w:r>
        <w:t xml:space="preserve"> </w:t>
      </w:r>
      <w:r>
        <w:t xml:space="preserve">whereas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belongs to one city and one month.</w:t>
      </w:r>
    </w:p>
    <w:p>
      <w:pPr>
        <w:pStyle w:val="BodyText"/>
      </w:pPr>
      <w:r>
        <w:t xml:space="preserve">In the fitted</w:t>
      </w:r>
      <w:r>
        <w:t xml:space="preserve"> </w:t>
      </w:r>
      <w:r>
        <w:rPr>
          <w:rStyle w:val="VerbatimChar"/>
        </w:rPr>
        <w:t xml:space="preserve">glmmTMB</w:t>
      </w:r>
      <w:r>
        <w:t xml:space="preserve"> </w:t>
      </w:r>
      <w:r>
        <w:t xml:space="preserve">model, the corresponding computational specification is</w:t>
      </w:r>
    </w:p>
    <w:p>
      <w:pPr>
        <w:pStyle w:val="SourceCode"/>
      </w:pPr>
      <w:r>
        <w:rPr>
          <w:rStyle w:val="FunctionTok"/>
        </w:rPr>
        <w:t xml:space="preserve">cbind</w:t>
      </w:r>
      <w:r>
        <w:rPr>
          <w:rStyle w:val="NormalTok"/>
        </w:rPr>
        <w:t xml:space="preserve">(count, trials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trend_b1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...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trend_b5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season_s1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season_c1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...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season_s3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season_c3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city_id)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time_period)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homdiag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trend_b1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...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trend_b5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city_trend_group)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homdiag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season_s1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...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season_c3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city_season_group)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cell_id)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homdiag</w:t>
      </w:r>
      <w:r>
        <w:t xml:space="preserve"> </w:t>
      </w:r>
      <w:r>
        <w:t xml:space="preserve">assigns one estimated variance to all coefficients in a basis</w:t>
      </w:r>
      <w:r>
        <w:t xml:space="preserve"> </w:t>
      </w:r>
      <w:r>
        <w:t xml:space="preserve">block, sets their correlations to zero, and allows the coefficients to vary by</w:t>
      </w:r>
      <w:r>
        <w:t xml:space="preserve"> </w:t>
      </w:r>
      <w:r>
        <w:t xml:space="preserve">city. Despite their names,</w:t>
      </w:r>
      <w:r>
        <w:t xml:space="preserve"> </w:t>
      </w:r>
      <w:r>
        <w:rPr>
          <w:rStyle w:val="VerbatimChar"/>
        </w:rPr>
        <w:t xml:space="preserve">city_trend_group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city_season_group</w:t>
      </w:r>
      <w:r>
        <w:t xml:space="preserve"> </w:t>
      </w:r>
      <w:r>
        <w:t xml:space="preserve">do not</w:t>
      </w:r>
      <w:r>
        <w:t xml:space="preserve"> </w:t>
      </w:r>
      <w:r>
        <w:t xml:space="preserve">combine cities into artificial groups. Each is a one-to-one copy of</w:t>
      </w:r>
      <w:r>
        <w:t xml:space="preserve"> </w:t>
      </w:r>
      <w:r>
        <w:rPr>
          <w:rStyle w:val="VerbatimChar"/>
        </w:rPr>
        <w:t xml:space="preserve">city_id</w:t>
      </w:r>
      <w:r>
        <w:t xml:space="preserve"> </w:t>
      </w:r>
      <w:r>
        <w:t xml:space="preserve">with the same 547 levels. The copies let</w:t>
      </w:r>
      <w:r>
        <w:t xml:space="preserve"> </w:t>
      </w:r>
      <w:r>
        <w:rPr>
          <w:rStyle w:val="VerbatimChar"/>
        </w:rPr>
        <w:t xml:space="preserve">glmmTMB</w:t>
      </w:r>
      <w:r>
        <w:t xml:space="preserve"> </w:t>
      </w:r>
      <w:r>
        <w:t xml:space="preserve">represent the city intercept,</w:t>
      </w:r>
      <w:r>
        <w:t xml:space="preserve"> </w:t>
      </w:r>
      <w:r>
        <w:t xml:space="preserve">city trend coefficients, and city seasonal coefficients as three independent</w:t>
      </w:r>
      <w:r>
        <w:t xml:space="preserve"> </w:t>
      </w:r>
      <w:r>
        <w:t xml:space="preserve">covariance blocks; every city still receives its own five trend and six</w:t>
      </w:r>
      <w:r>
        <w:t xml:space="preserve"> </w:t>
      </w:r>
      <w:r>
        <w:t xml:space="preserve">seasonal coefficients.</w:t>
      </w:r>
      <w:r>
        <w:t xml:space="preserve"> </w:t>
      </w:r>
      <w:r>
        <w:rPr>
          <w:rStyle w:val="VerbatimChar"/>
        </w:rPr>
        <w:t xml:space="preserve">homdiag</w:t>
      </w:r>
      <w:r>
        <w:t xml:space="preserve"> </w:t>
      </w:r>
      <w:r>
        <w:t xml:space="preserve">is a parsimonious ridge penalty: replacing it with</w:t>
      </w:r>
      <w:r>
        <w:t xml:space="preserve"> </w:t>
      </w:r>
      <w:r>
        <w:rPr>
          <w:rStyle w:val="VerbatimChar"/>
        </w:rPr>
        <w:t xml:space="preserve">diag</w:t>
      </w:r>
      <w:r>
        <w:t xml:space="preserve"> </w:t>
      </w:r>
      <w:r>
        <w:t xml:space="preserve">would</w:t>
      </w:r>
      <w:r>
        <w:t xml:space="preserve"> </w:t>
      </w:r>
      <w:r>
        <w:t xml:space="preserve">estimate a separate variance for each basis coefficient, while an unstructured</w:t>
      </w:r>
      <w:r>
        <w:t xml:space="preserve"> </w:t>
      </w:r>
      <w:r>
        <w:t xml:space="preserve">block would also estimate their correlations. The homogeneous assumption is</w:t>
      </w:r>
      <w:r>
        <w:t xml:space="preserve"> </w:t>
      </w:r>
      <w:r>
        <w:t xml:space="preserve">computationally stable but depends on the scaling of the chosen basis. The</w:t>
      </w:r>
      <w:r>
        <w:t xml:space="preserve"> </w:t>
      </w:r>
      <w:r>
        <w:t xml:space="preserve">natural-spline knots and boundary knots are cached with each fitted</w:t>
      </w:r>
      <w:r>
        <w:t xml:space="preserve"> </w:t>
      </w:r>
      <w:r>
        <w:t xml:space="preserve">object, as are the three seasonal harmonics, so later predictions use exactly</w:t>
      </w:r>
      <w:r>
        <w:t xml:space="preserve"> </w:t>
      </w:r>
      <w:r>
        <w:t xml:space="preserve">the estimation bases. Models are estimated by restricted maximum likelihood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glmmTMB</w:t>
      </w:r>
      <w:r>
        <w:t xml:space="preserve">, whose Template Model Builder backend uses automatic</w:t>
      </w:r>
      <w:r>
        <w:t xml:space="preserve"> </w:t>
      </w:r>
      <w:r>
        <w:t xml:space="preserve">differentiation and sparse random-effect calculations</w:t>
      </w:r>
      <w:r>
        <w:t xml:space="preserve"> </w:t>
      </w:r>
      <w:r>
        <w:t xml:space="preserve">(</w:t>
      </w:r>
      <w:hyperlink w:anchor="ref-brooks2017">
        <w:r>
          <w:rPr>
            <w:rStyle w:val="Hyperlink"/>
          </w:rPr>
          <w:t xml:space="preserve">Brooks et al. 2017</w:t>
        </w:r>
      </w:hyperlink>
      <w:r>
        <w:t xml:space="preserve">;</w:t>
      </w:r>
      <w:r>
        <w:t xml:space="preserve"> </w:t>
      </w:r>
      <w:hyperlink w:anchor="ref-kristensen2016">
        <w:r>
          <w:rPr>
            <w:rStyle w:val="Hyperlink"/>
          </w:rPr>
          <w:t xml:space="preserve">Kristensen et al. 2016</w:t>
        </w:r>
      </w:hyperlink>
      <w:r>
        <w:t xml:space="preserve">)</w:t>
      </w:r>
      <w:r>
        <w:t xml:space="preserve">. Each complete fitted model is saved and reload-verified before</w:t>
      </w:r>
      <w:r>
        <w:t xml:space="preserve"> </w:t>
      </w:r>
      <w:r>
        <w:t xml:space="preserve">the next offense begins.</w:t>
      </w:r>
    </w:p>
    <w:p>
      <w:pPr>
        <w:pStyle w:val="BodyText"/>
      </w:pPr>
      <w:r>
        <w:t xml:space="preserve">Predictions are reported at four levels. The global curve contains the</w:t>
      </w:r>
      <w:r>
        <w:t xml:space="preserve"> </w:t>
      </w:r>
      <w:r>
        <w:t xml:space="preserve">intercept and fixed trend and seasonal basis terms. The city curve additionally</w:t>
      </w:r>
      <w:r>
        <w:t xml:space="preserve"> </w:t>
      </w:r>
      <w:r>
        <w:t xml:space="preserve">contains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b"/>
          </m:rPr>
          <m:t>B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  <m:sup>
            <m:r>
              <m:rPr>
                <m:sty m:val="p"/>
                <m:scr m:val="sans-serif"/>
              </m:rPr>
              <m:t>T</m:t>
            </m:r>
          </m:sup>
        </m:sSup>
        <m:sSub>
          <m:e>
            <m:r>
              <m:rPr>
                <m:sty m:val="b"/>
              </m:rP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b"/>
          </m:rPr>
          <m:t>F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t</m:t>
                    </m:r>
                  </m:sub>
                </m:sSub>
              </m:e>
            </m:d>
          </m:e>
          <m:sup>
            <m:r>
              <m:rPr>
                <m:sty m:val="p"/>
                <m:scr m:val="sans-serif"/>
              </m:rPr>
              <m:t>T</m:t>
            </m:r>
          </m:sup>
        </m:sSup>
        <m:sSub>
          <m:e>
            <m:r>
              <m:rPr>
                <m:sty m:val="b"/>
              </m:rPr>
              <m:t>v</m:t>
            </m:r>
          </m:e>
          <m:sub>
            <m:r>
              <m:t>i</m:t>
            </m:r>
          </m:sub>
        </m:sSub>
      </m:oMath>
      <w:r>
        <w:t xml:space="preserve">. The shared time-period remainder adds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, and the final fitted value adds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. There is no continuity</w:t>
      </w:r>
      <w:r>
        <w:t xml:space="preserve"> </w:t>
      </w:r>
      <w:r>
        <w:t xml:space="preserve">correction or constructed</w:t>
      </w:r>
      <w:r>
        <w:t xml:space="preserve"> </w:t>
      </w:r>
      <w:r>
        <w:t xml:space="preserve">“</w:t>
      </w:r>
      <w:r>
        <w:t xml:space="preserve">stabilized probability</w:t>
      </w:r>
      <w:r>
        <w:t xml:space="preserve">”</w:t>
      </w:r>
      <w:r>
        <w:t xml:space="preserve">; zeros are valid binomial</w:t>
      </w:r>
      <w:r>
        <w:t xml:space="preserve"> </w:t>
      </w:r>
      <w:r>
        <w:t xml:space="preserve">outcomes and all displayed components come directly from the fitted model.</w:t>
      </w:r>
    </w:p>
    <w:bookmarkStart w:id="22" w:name="computational-implementation"/>
    <w:p>
      <w:pPr>
        <w:pStyle w:val="Heading2"/>
      </w:pPr>
      <w:r>
        <w:t xml:space="preserve">Computational implementation</w:t>
      </w:r>
    </w:p>
    <w:p>
      <w:pPr>
        <w:pStyle w:val="FirstParagraph"/>
      </w:pPr>
      <w:r>
        <w:t xml:space="preserve">I first implemented the model with</w:t>
      </w:r>
      <w:r>
        <w:t xml:space="preserve"> </w:t>
      </w:r>
      <w:r>
        <w:rPr>
          <w:rStyle w:val="VerbatimChar"/>
        </w:rPr>
        <w:t xml:space="preserve">mgcv</w:t>
      </w:r>
      <w:r>
        <w:t xml:space="preserve"> </w:t>
      </w:r>
      <w:r>
        <w:t xml:space="preserve">factor smooths through</w:t>
      </w:r>
      <w:r>
        <w:t xml:space="preserve"> </w:t>
      </w:r>
      <w:r>
        <w:rPr>
          <w:rStyle w:val="VerbatimChar"/>
        </w:rPr>
        <w:t xml:space="preserve">gamm4</w:t>
      </w:r>
      <w:r>
        <w:t xml:space="preserve">: global</w:t>
      </w:r>
      <w:r>
        <w:t xml:space="preserve"> </w:t>
      </w:r>
      <w:r>
        <w:t xml:space="preserve">thin-plate and cyclic smooths were combined with city-specific</w:t>
      </w:r>
      <w:r>
        <w:t xml:space="preserve"> </w:t>
      </w:r>
      <w:r>
        <w:rPr>
          <w:rStyle w:val="VerbatimChar"/>
        </w:rPr>
        <w:t xml:space="preserve">fs</w:t>
      </w:r>
      <w:r>
        <w:t xml:space="preserve"> </w:t>
      </w:r>
      <w:r>
        <w:t xml:space="preserve">trend and</w:t>
      </w:r>
      <w:r>
        <w:t xml:space="preserve"> </w:t>
      </w:r>
      <w:r>
        <w:t xml:space="preserve">seasonal smooths, while</w:t>
      </w:r>
      <w:r>
        <w:t xml:space="preserve"> </w:t>
      </w:r>
      <w:r>
        <w:rPr>
          <w:rStyle w:val="VerbatimChar"/>
        </w:rPr>
        <w:t xml:space="preserve">lme4</w:t>
      </w:r>
      <w:r>
        <w:t xml:space="preserve"> </w:t>
      </w:r>
      <w:r>
        <w:t xml:space="preserve">represented the city, time-period, and</w:t>
      </w:r>
      <w:r>
        <w:t xml:space="preserve"> </w:t>
      </w:r>
      <w:r>
        <w:t xml:space="preserve">observation-level intercepts</w:t>
      </w:r>
      <w:r>
        <w:t xml:space="preserve"> </w:t>
      </w:r>
      <w:r>
        <w:t xml:space="preserve">(</w:t>
      </w:r>
      <w:hyperlink w:anchor="ref-wood2011">
        <w:r>
          <w:rPr>
            <w:rStyle w:val="Hyperlink"/>
          </w:rPr>
          <w:t xml:space="preserve">S. N. Wood 2011</w:t>
        </w:r>
      </w:hyperlink>
      <w:r>
        <w:t xml:space="preserve">,</w:t>
      </w:r>
      <w:r>
        <w:t xml:space="preserve"> </w:t>
      </w:r>
      <w:hyperlink w:anchor="ref-wood2017">
        <w:r>
          <w:rPr>
            <w:rStyle w:val="Hyperlink"/>
          </w:rPr>
          <w:t xml:space="preserve">2017</w:t>
        </w:r>
      </w:hyperlink>
      <w:r>
        <w:t xml:space="preserve">;</w:t>
      </w:r>
      <w:r>
        <w:t xml:space="preserve"> </w:t>
      </w:r>
      <w:hyperlink w:anchor="ref-gamm4">
        <w:r>
          <w:rPr>
            <w:rStyle w:val="Hyperlink"/>
          </w:rPr>
          <w:t xml:space="preserve">S. Wood and Scheipl 2025</w:t>
        </w:r>
      </w:hyperlink>
      <w:r>
        <w:t xml:space="preserve">;</w:t>
      </w:r>
      <w:r>
        <w:t xml:space="preserve"> </w:t>
      </w:r>
      <w:hyperlink w:anchor="ref-bates2015">
        <w:r>
          <w:rPr>
            <w:rStyle w:val="Hyperlink"/>
          </w:rPr>
          <w:t xml:space="preserve">Bates et al. 2015</w:t>
        </w:r>
      </w:hyperlink>
      <w:r>
        <w:t xml:space="preserve">)</w:t>
      </w:r>
      <w:r>
        <w:t xml:space="preserve">. That</w:t>
      </w:r>
      <w:r>
        <w:t xml:space="preserve"> </w:t>
      </w:r>
      <w:r>
        <w:t xml:space="preserve">model worked on reduced sets of cities and years. The full offense data were a</w:t>
      </w:r>
      <w:r>
        <w:t xml:space="preserve"> </w:t>
      </w:r>
      <w:r>
        <w:t xml:space="preserve">different problem. Linux runs used more than 20 GB of memory before completing,</w:t>
      </w:r>
      <w:r>
        <w:t xml:space="preserve"> </w:t>
      </w:r>
      <w:r>
        <w:t xml:space="preserve">and Windows runs repeatedly terminated inside the sparse</w:t>
      </w:r>
      <w:r>
        <w:t xml:space="preserve"> </w:t>
      </w:r>
      <w:r>
        <w:rPr>
          <w:rStyle w:val="VerbatimChar"/>
        </w:rPr>
        <w:t xml:space="preserve">Matrix</w:t>
      </w:r>
      <w:r>
        <w:t xml:space="preserve"> </w:t>
      </w:r>
      <w:r>
        <w:t xml:space="preserve">factorization. A model that works only on a large rented machine is not a useful</w:t>
      </w:r>
      <w:r>
        <w:t xml:space="preserve"> </w:t>
      </w:r>
      <w:r>
        <w:t xml:space="preserve">default for this project.</w:t>
      </w:r>
    </w:p>
    <w:p>
      <w:pPr>
        <w:pStyle w:val="BodyText"/>
      </w:pPr>
      <w:r>
        <w:t xml:space="preserve">The final implementation retains the structure that motivated the</w:t>
      </w:r>
      <w:r>
        <w:t xml:space="preserve"> </w:t>
      </w:r>
      <w:r>
        <w:t xml:space="preserve">factor-smooth model—a global intercept, global trend and season, city random</w:t>
      </w:r>
      <w:r>
        <w:t xml:space="preserve"> </w:t>
      </w:r>
      <w:r>
        <w:t xml:space="preserve">intercepts, city-varying trend and season, a common month effect, and an</w:t>
      </w:r>
      <w:r>
        <w:t xml:space="preserve"> </w:t>
      </w:r>
      <w:r>
        <w:t xml:space="preserve">observation-level effect—but changes its computational representation. The</w:t>
      </w:r>
      <w:r>
        <w:t xml:space="preserve"> </w:t>
      </w:r>
      <w:r>
        <w:t xml:space="preserve">explicit five-column natural-spline and six-column Fourier bases make the size</w:t>
      </w:r>
      <w:r>
        <w:t xml:space="preserve"> </w:t>
      </w:r>
      <w:r>
        <w:t xml:space="preserve">of each city’s coefficient block fixed and transparent. Fitting those blocks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glmmTMB</w:t>
      </w:r>
      <w:r>
        <w:t xml:space="preserve"> </w:t>
      </w:r>
      <w:r>
        <w:t xml:space="preserve">reduced the full model to a sparse random-coefficient problem</w:t>
      </w:r>
      <w:r>
        <w:t xml:space="preserve"> </w:t>
      </w:r>
      <w:r>
        <w:t xml:space="preserve">that could be estimated and reload-verified one offense at a time. This is not</w:t>
      </w:r>
      <w:r>
        <w:t xml:space="preserve"> </w:t>
      </w:r>
      <w:r>
        <w:t xml:space="preserve">a general claim that</w:t>
      </w:r>
      <w:r>
        <w:t xml:space="preserve"> </w:t>
      </w:r>
      <w:r>
        <w:rPr>
          <w:rStyle w:val="VerbatimChar"/>
        </w:rPr>
        <w:t xml:space="preserve">mgcv</w:t>
      </w:r>
      <w:r>
        <w:t xml:space="preserve"> </w:t>
      </w:r>
      <w:r>
        <w:t xml:space="preserve">factor smooths are infeasible.</w:t>
      </w:r>
      <w:r>
        <w:t xml:space="preserve"> </w:t>
      </w:r>
      <w:r>
        <w:t xml:space="preserve">It is a practical result for this combination of 547 cities,</w:t>
      </w:r>
      <w:r>
        <w:t xml:space="preserve"> </w:t>
      </w:r>
      <w:r>
        <w:t xml:space="preserve">439,016 city-month-offense observations, two</w:t>
      </w:r>
      <w:r>
        <w:t xml:space="preserve"> </w:t>
      </w:r>
      <w:r>
        <w:t xml:space="preserve">city-varying bases, and an</w:t>
      </w:r>
      <w:r>
        <w:t xml:space="preserve"> </w:t>
      </w:r>
      <w:r>
        <w:t xml:space="preserve">observation-level random effect.</w:t>
      </w:r>
    </w:p>
    <w:bookmarkEnd w:id="22"/>
    <w:bookmarkEnd w:id="23"/>
    <w:bookmarkStart w:id="28" w:name="global-trends"/>
    <w:p>
      <w:pPr>
        <w:pStyle w:val="Heading1"/>
      </w:pPr>
      <w:r>
        <w:t xml:space="preserve">Global trends</w:t>
      </w:r>
    </w:p>
    <w:p>
      <w:pPr>
        <w:pStyle w:val="FirstParagraph"/>
      </w:pPr>
      <w:hyperlink w:anchor="fig-global-tren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gradual change shared across cities after removing</w:t>
      </w:r>
      <w:r>
        <w:t xml:space="preserve"> </w:t>
      </w:r>
      <w:r>
        <w:t xml:space="preserve">seasonal, city-specific, and monthly variation. I use a separate vertical scale</w:t>
      </w:r>
      <w:r>
        <w:t xml:space="preserve"> </w:t>
      </w:r>
      <w:r>
        <w:t xml:space="preserve">for each offense; otherwise property crime would flatten the lower-rate murder</w:t>
      </w:r>
      <w:r>
        <w:t xml:space="preserve"> </w:t>
      </w:r>
      <w:r>
        <w:t xml:space="preserve">and rape series. Figures are produced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t xml:space="preserve">(</w:t>
      </w:r>
      <w:hyperlink w:anchor="ref-wickham2016">
        <w:r>
          <w:rPr>
            <w:rStyle w:val="Hyperlink"/>
          </w:rPr>
          <w:t xml:space="preserve">Wickham 2016</w:t>
        </w:r>
      </w:hyperlink>
      <w:r>
        <w:t xml:space="preserve">)</w:t>
      </w:r>
      <w:r>
        <w:t xml:space="preserve">. From</w:t>
      </w:r>
      <w:r>
        <w:t xml:space="preserve"> </w:t>
      </w:r>
      <w:r>
        <w:t xml:space="preserve">January 2017 through August 2026, the fitted burglary trend declined by</w:t>
      </w:r>
      <w:r>
        <w:t xml:space="preserve"> </w:t>
      </w:r>
      <w:r>
        <w:t xml:space="preserve">63.4%, robbery by</w:t>
      </w:r>
      <w:r>
        <w:t xml:space="preserve"> </w:t>
      </w:r>
      <w:r>
        <w:t xml:space="preserve">57.6%, murder by</w:t>
      </w:r>
      <w:r>
        <w:t xml:space="preserve"> </w:t>
      </w:r>
      <w:r>
        <w:t xml:space="preserve">38.8%, and theft by</w:t>
      </w:r>
      <w:r>
        <w:t xml:space="preserve"> </w:t>
      </w:r>
      <w:r>
        <w:t xml:space="preserve">33.9%. Assault was the exception:</w:t>
      </w:r>
      <w:r>
        <w:t xml:space="preserve"> </w:t>
      </w:r>
      <w:r>
        <w:t xml:space="preserve">its fitted global trend ended 6.0%</w:t>
      </w:r>
      <w:r>
        <w:t xml:space="preserve"> </w:t>
      </w:r>
      <w:r>
        <w:t xml:space="preserve">above its January 2017 level. These endpoint comparisons summarize the curves;</w:t>
      </w:r>
      <w:r>
        <w:t xml:space="preserve"> </w:t>
      </w:r>
      <w:r>
        <w:t xml:space="preserve">they are not causal estimates. The paths between the endpoints are more useful</w:t>
      </w:r>
      <w:r>
        <w:t xml:space="preserve"> </w:t>
      </w:r>
      <w:r>
        <w:t xml:space="preserve">than the percentage alone.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7" w:name="fig-global-trend"/>
          <w:p>
            <w:pPr>
              <w:pStyle w:val="Compact"/>
              <w:jc w:val="center"/>
            </w:pPr>
            <w:r>
              <w:drawing>
                <wp:inline>
                  <wp:extent cx="5334000" cy="5941218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output/markdown/images/fig-global-trend-1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41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Estimated global long-run trend for each offense, expressed as an annualized rate per 100,000. Each panel has its own vertical scale so that the shape of lower-rate offenses remains visible. The curves exclude city intercepts, city-specific smooth departures, and observation-level residuals.</w:t>
            </w:r>
          </w:p>
          <w:bookmarkEnd w:id="27"/>
        </w:tc>
      </w:tr>
    </w:tbl>
    <w:bookmarkEnd w:id="28"/>
    <w:bookmarkStart w:id="33" w:name="global-seasonal-patterns"/>
    <w:p>
      <w:pPr>
        <w:pStyle w:val="Heading1"/>
      </w:pPr>
      <w:r>
        <w:t xml:space="preserve">Global seasonal patterns</w:t>
      </w:r>
    </w:p>
    <w:p>
      <w:pPr>
        <w:pStyle w:val="FirstParagraph"/>
      </w:pPr>
      <w:hyperlink w:anchor="fig-global-seasonal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answers a simple question: after accounting for the</w:t>
      </w:r>
      <w:r>
        <w:t xml:space="preserve"> </w:t>
      </w:r>
      <w:r>
        <w:t xml:space="preserve">long-run trend, which months tend to be higher or lower? Values above zero are</w:t>
      </w:r>
      <w:r>
        <w:t xml:space="preserve"> </w:t>
      </w:r>
      <w:r>
        <w:t xml:space="preserve">months above the fitted trend, and values below zero are months below it. The</w:t>
      </w:r>
      <w:r>
        <w:t xml:space="preserve"> </w:t>
      </w:r>
      <w:r>
        <w:t xml:space="preserve">effect is displayed on the annualized rate scale, so its magnitude depends on</w:t>
      </w:r>
      <w:r>
        <w:t xml:space="preserve"> </w:t>
      </w:r>
      <w:r>
        <w:t xml:space="preserve">the baseline rate for the offense as well as the logit-scale seasonal curve.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2" w:name="fig-global-seasonal"/>
          <w:p>
            <w:pPr>
              <w:pStyle w:val="Compact"/>
              <w:jc w:val="center"/>
            </w:pPr>
            <w:r>
              <w:drawing>
                <wp:inline>
                  <wp:extent cx="5334000" cy="5484812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output/markdown/images/fig-global-seasonal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4848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Estimated global cyclic seasonal departure for each offense on the annualized rate scale. Zero denotes the corresponding global trend; positive values indicate months above that trend and negative values indicate months below it. Panels use offense-specific vertical scales.</w:t>
            </w:r>
          </w:p>
          <w:bookmarkEnd w:id="32"/>
        </w:tc>
      </w:tr>
    </w:tbl>
    <w:bookmarkEnd w:id="33"/>
    <w:bookmarkStart w:id="38" w:name="shared-time-period-variation"/>
    <w:p>
      <w:pPr>
        <w:pStyle w:val="Heading1"/>
      </w:pPr>
      <w:r>
        <w:t xml:space="preserve">Shared time period variation</w:t>
      </w:r>
    </w:p>
    <w:p>
      <w:pPr>
        <w:pStyle w:val="FirstParagraph"/>
      </w:pPr>
      <w:hyperlink w:anchor="fig-global-residu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fitted common time-period effect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. I</w:t>
      </w:r>
      <w:r>
        <w:t xml:space="preserve"> </w:t>
      </w:r>
      <w:r>
        <w:t xml:space="preserve">transform it from the logit scale to a change in the annualized global rate.</w:t>
      </w:r>
      <w:r>
        <w:t xml:space="preserve"> </w:t>
      </w:r>
      <w:r>
        <w:t xml:space="preserve">This isolates monthly movement shared across the sample after accounting for</w:t>
      </w:r>
      <w:r>
        <w:t xml:space="preserve"> </w:t>
      </w:r>
      <w:r>
        <w:t xml:space="preserve">trend and season; it does not include the city-specific effect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. A</w:t>
      </w:r>
      <w:r>
        <w:t xml:space="preserve"> </w:t>
      </w:r>
      <w:r>
        <w:t xml:space="preserve">positive monthly effect can therefore occur during a declining trend whenever</w:t>
      </w:r>
      <w:r>
        <w:t xml:space="preserve"> </w:t>
      </w:r>
      <w:r>
        <w:t xml:space="preserve">that month is above its still-declining baseline.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7" w:name="fig-global-residual"/>
          <w:p>
            <w:pPr>
              <w:pStyle w:val="Compact"/>
              <w:jc w:val="center"/>
            </w:pPr>
            <w:r>
              <w:drawing>
                <wp:inline>
                  <wp:extent cx="5334000" cy="5179218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output/markdown/images/fig-global-residual-1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79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Fitted shared time-period random effect for each offense, transformed to its change in the annualized global rate. Positive values are time-period departures above the global trend-plus-seasonal curve; negative values are departures below it. Panels use offense-specific vertical scales.</w:t>
            </w:r>
          </w:p>
          <w:bookmarkEnd w:id="37"/>
        </w:tc>
      </w:tr>
    </w:tbl>
    <w:p>
      <w:pPr>
        <w:pStyle w:val="BodyText"/>
      </w:pPr>
      <w:r>
        <w:t xml:space="preserve">The common time-period term separates abrupt movement from gradual change.</w:t>
      </w:r>
      <w:r>
        <w:t xml:space="preserve"> </w:t>
      </w:r>
      <w:r>
        <w:t xml:space="preserve">April 2020 is a prominent negative departure for rape, assault, and theft;</w:t>
      </w:r>
      <w:r>
        <w:t xml:space="preserve"> </w:t>
      </w:r>
      <w:r>
        <w:t xml:space="preserve">motor vehicle theft has a large positive shared departure in October 2023.</w:t>
      </w:r>
      <w:r>
        <w:t xml:space="preserve"> </w:t>
      </w:r>
      <w:r>
        <w:t xml:space="preserve">Their timing does not identify a cause.</w:t>
      </w:r>
    </w:p>
    <w:bookmarkEnd w:id="38"/>
    <w:bookmarkStart w:id="56" w:name="a-city-example-philadelphia"/>
    <w:p>
      <w:pPr>
        <w:pStyle w:val="Heading1"/>
      </w:pPr>
      <w:r>
        <w:t xml:space="preserve">A city example: Philadelphia</w:t>
      </w:r>
    </w:p>
    <w:bookmarkStart w:id="46" w:name="robbery"/>
    <w:p>
      <w:pPr>
        <w:pStyle w:val="Heading2"/>
      </w:pPr>
      <w:r>
        <w:t xml:space="preserve">Robbery</w:t>
      </w:r>
    </w:p>
    <w:p>
      <w:pPr>
        <w:pStyle w:val="FirstParagraph"/>
      </w:pPr>
      <w:r>
        <w:t xml:space="preserve">Philadelphia robbery illustrates what each layer adds. The global curve is the</w:t>
      </w:r>
      <w:r>
        <w:t xml:space="preserve"> </w:t>
      </w:r>
      <w:r>
        <w:t xml:space="preserve">robbery pattern shared across the sample. The city curve adds Philadelphia’s</w:t>
      </w:r>
      <w:r>
        <w:t xml:space="preserve"> </w:t>
      </w:r>
      <w:r>
        <w:t xml:space="preserve">level, trend, and seasonal departures. The observed series is much noisier</w:t>
      </w:r>
      <w:r>
        <w:t xml:space="preserve"> </w:t>
      </w:r>
      <w:r>
        <w:t xml:space="preserve">because it also includes shared monthly movement and the Philadelphia-specific</w:t>
      </w:r>
      <w:r>
        <w:t xml:space="preserve"> </w:t>
      </w:r>
      <w:r>
        <w:t xml:space="preserve">city-month residual.</w:t>
      </w:r>
    </w:p>
    <w:p>
      <w:pPr>
        <w:pStyle w:val="CaptionedFigure"/>
      </w:pPr>
      <w:r>
        <w:drawing>
          <wp:inline>
            <wp:extent cx="5334000" cy="3655218"/>
            <wp:effectExtent b="0" l="0" r="0" t="0"/>
            <wp:docPr descr="Observed robbery rate and fitted global and Philadelphia curves." title="" id="40" name="Picture"/>
            <a:graphic>
              <a:graphicData uri="http://schemas.openxmlformats.org/drawingml/2006/picture">
                <pic:pic>
                  <pic:nvPicPr>
                    <pic:cNvPr descr="output/markdown/images/unnamed-chunk-2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5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Observed robbery rate and fitted global and Philadelphia curves.</w:t>
      </w:r>
    </w:p>
    <w:p>
      <w:pPr>
        <w:pStyle w:val="BodyText"/>
      </w:pPr>
      <w:r>
        <w:t xml:space="preserve">Across the series, Philadelphia’s fitted city curve differs from the global</w:t>
      </w:r>
      <w:r>
        <w:t xml:space="preserve"> </w:t>
      </w:r>
      <w:r>
        <w:t xml:space="preserve">curve by an average of 2.02 on the logit</w:t>
      </w:r>
      <w:r>
        <w:t xml:space="preserve"> </w:t>
      </w:r>
      <w:r>
        <w:t xml:space="preserve">scale. That average includes the city intercept. The departure ranges from</w:t>
      </w:r>
      <w:r>
        <w:t xml:space="preserve"> </w:t>
      </w:r>
      <w:r>
        <w:t xml:space="preserve">1.85 in</w:t>
      </w:r>
      <w:r>
        <w:t xml:space="preserve"> </w:t>
      </w:r>
      <w:r>
        <w:t xml:space="preserve">March 2017 to</w:t>
      </w:r>
      <w:r>
        <w:t xml:space="preserve"> </w:t>
      </w:r>
      <w:r>
        <w:t xml:space="preserve">2.24 in</w:t>
      </w:r>
      <w:r>
        <w:t xml:space="preserve"> </w:t>
      </w:r>
      <w:r>
        <w:t xml:space="preserve">October 2022; movement within that range</w:t>
      </w:r>
      <w:r>
        <w:t xml:space="preserve"> </w:t>
      </w:r>
      <w:r>
        <w:t xml:space="preserve">reflects the city-specific trend and seasonal deviations. The largest fitted</w:t>
      </w:r>
      <w:r>
        <w:t xml:space="preserve"> </w:t>
      </w:r>
      <w:r>
        <w:t xml:space="preserve">monthly row residual occurs in July 2020.</w:t>
      </w:r>
      <w:r>
        <w:t xml:space="preserve"> </w:t>
      </w:r>
      <w:r>
        <w:t xml:space="preserve">It is not folded back into either smooth curve, which keeps an unusual month</w:t>
      </w:r>
      <w:r>
        <w:t xml:space="preserve"> </w:t>
      </w:r>
      <w:r>
        <w:t xml:space="preserve">from being mistaken for a persistent local trajectory.</w:t>
      </w:r>
      <w:r>
        <w:t xml:space="preserve"> </w:t>
      </w:r>
      <w:hyperlink w:anchor="fig-city-components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compares like components directly. The trend panel removes intercepts and</w:t>
      </w:r>
      <w:r>
        <w:t xml:space="preserve"> </w:t>
      </w:r>
      <w:r>
        <w:t xml:space="preserve">centers both curves, so it compares shape rather than level. The seasonal panel</w:t>
      </w:r>
      <w:r>
        <w:t xml:space="preserve"> </w:t>
      </w:r>
      <w:r>
        <w:t xml:space="preserve">superimposes Philadelphia’s fitted seasonal pattern on the global pattern. The</w:t>
      </w:r>
      <w:r>
        <w:t xml:space="preserve"> </w:t>
      </w:r>
      <w:r>
        <w:t xml:space="preserve">residual panel compares the time-period effect shared by the full sample with</w:t>
      </w:r>
      <w:r>
        <w:t xml:space="preserve"> </w:t>
      </w:r>
      <w:r>
        <w:t xml:space="preserve">Philadelphia’s total monthly residual,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. Shaded ribbons around the</w:t>
      </w:r>
      <w:r>
        <w:t xml:space="preserve"> </w:t>
      </w:r>
      <w:r>
        <w:t xml:space="preserve">Philadelphia trend and seasonal curves are approximate 95% pointwise</w:t>
      </w:r>
      <w:r>
        <w:t xml:space="preserve"> </w:t>
      </w:r>
      <w:r>
        <w:t xml:space="preserve">conditional intervals for the city-specific coefficient deviations.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5" w:name="fig-city-components"/>
          <w:p>
            <w:pPr>
              <w:pStyle w:val="Compact"/>
              <w:jc w:val="center"/>
            </w:pPr>
            <w:r>
              <w:drawing>
                <wp:inline>
                  <wp:extent cx="5334000" cy="49530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output/markdown/images/fig-city-components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953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4: Philadelphia and full-sample robbery components on the logit scale: centered long-run trends with the city intercept removed (top), Fourier seasonal curves (middle), and the sample-wide time-period residual compared with Philadelphia’s time-period plus city-month residual (bottom). Shading gives approximate 95% pointwise conditional intervals for Philadelphia’s trend and seasonal deviations.</w:t>
            </w:r>
          </w:p>
          <w:bookmarkEnd w:id="45"/>
        </w:tc>
      </w:tr>
    </w:tbl>
    <w:bookmarkEnd w:id="46"/>
    <w:bookmarkStart w:id="55" w:name="burglary"/>
    <w:p>
      <w:pPr>
        <w:pStyle w:val="Heading2"/>
      </w:pPr>
      <w:r>
        <w:t xml:space="preserve">Burglary</w:t>
      </w:r>
    </w:p>
    <w:p>
      <w:pPr>
        <w:pStyle w:val="FirstParagraph"/>
      </w:pPr>
      <w:r>
        <w:t xml:space="preserve">Philadelphia burglary provides a useful contrast because several abrupt 2020</w:t>
      </w:r>
      <w:r>
        <w:t xml:space="preserve"> </w:t>
      </w:r>
      <w:r>
        <w:t xml:space="preserve">changes are visible in the reported series but should not be absorbed into the</w:t>
      </w:r>
      <w:r>
        <w:t xml:space="preserve"> </w:t>
      </w:r>
      <w:r>
        <w:t xml:space="preserve">city’s long-run trend. In the RTCI source snapshot downloaded on</w:t>
      </w:r>
      <w:r>
        <w:t xml:space="preserve"> </w:t>
      </w:r>
      <w:r>
        <w:t xml:space="preserve">October 16, 2026 at 14:00 UTC, Philadelphia reported</w:t>
      </w:r>
      <w:r>
        <w:t xml:space="preserve"> </w:t>
      </w:r>
      <w:r>
        <w:t xml:space="preserve">722 burglaries in May,</w:t>
      </w:r>
      <w:r>
        <w:t xml:space="preserve"> </w:t>
      </w:r>
      <w:r>
        <w:t xml:space="preserve">1,347 in June, and</w:t>
      </w:r>
      <w:r>
        <w:t xml:space="preserve"> </w:t>
      </w:r>
      <w:r>
        <w:t xml:space="preserve">986 in October 2020.</w:t>
      </w:r>
      <w:r>
        <w:t xml:space="preserve"> </w:t>
      </w:r>
      <w:r>
        <w:t xml:space="preserve">Those counts correspond to annualized monthly rates of</w:t>
      </w:r>
      <w:r>
        <w:t xml:space="preserve"> </w:t>
      </w:r>
      <w:r>
        <w:t xml:space="preserve">554.5,</w:t>
      </w:r>
      <w:r>
        <w:t xml:space="preserve"> </w:t>
      </w:r>
      <w:r>
        <w:t xml:space="preserve">1034.6, and</w:t>
      </w:r>
      <w:r>
        <w:t xml:space="preserve"> </w:t>
      </w:r>
      <w:r>
        <w:t xml:space="preserve">757.3 per 100,000,</w:t>
      </w:r>
      <w:r>
        <w:t xml:space="preserve"> </w:t>
      </w:r>
      <w:r>
        <w:t xml:space="preserve">respectively. These values are calculated directly from RTCI’s reported count</w:t>
      </w:r>
      <w:r>
        <w:t xml:space="preserve"> </w:t>
      </w:r>
      <w:r>
        <w:t xml:space="preserve">and population fields, rather than from a model-generated artifact.</w:t>
      </w:r>
    </w:p>
    <w:p>
      <w:pPr>
        <w:pStyle w:val="BodyText"/>
      </w:pPr>
      <w:hyperlink w:anchor="fig-philly-burglary-rate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that the partially pooled city curve remains</w:t>
      </w:r>
      <w:r>
        <w:t xml:space="preserve"> </w:t>
      </w:r>
      <w:r>
        <w:t xml:space="preserve">smooth through these spikes. This is intentional: the smooth trend and season</w:t>
      </w:r>
      <w:r>
        <w:t xml:space="preserve"> </w:t>
      </w:r>
      <w:r>
        <w:t xml:space="preserve">describe persistent structure, while isolated city-month departures belong to</w:t>
      </w:r>
      <w:r>
        <w:t xml:space="preserve"> </w:t>
      </w:r>
      <w:r>
        <w:t xml:space="preserve">the residual term. The largest fitted Philadelphia burglary row residual occurs</w:t>
      </w:r>
      <w:r>
        <w:t xml:space="preserve"> </w:t>
      </w:r>
      <w:r>
        <w:t xml:space="preserve">in June 2020.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0" w:name="fig-philly-burglary-rate"/>
          <w:p>
            <w:pPr>
              <w:pStyle w:val="Compact"/>
              <w:jc w:val="center"/>
            </w:pPr>
            <w:r>
              <w:drawing>
                <wp:inline>
                  <wp:extent cx="5334000" cy="3655218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output/markdown/images/fig-philly-burglary-rate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55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5: Philadelphia burglary rates: reported monthly observations, the global structural curve, and Philadelphia’s fitted city curve. The pronounced May, June, and October 2020 observations come directly from the RTCI source counts; the smooth curves exclude shared time-period and city-month residual effects.</w:t>
            </w:r>
          </w:p>
          <w:bookmarkEnd w:id="50"/>
        </w:tc>
      </w:tr>
    </w:tbl>
    <w:p>
      <w:r>
        <w:br w:type="page"/>
      </w:r>
    </w:p>
    <w:p>
      <w:pPr>
        <w:pStyle w:val="BodyText"/>
      </w:pPr>
      <w:hyperlink w:anchor="fig-philly-burglary-component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separates the same series into trend, season,</w:t>
      </w:r>
      <w:r>
        <w:t xml:space="preserve"> </w:t>
      </w:r>
      <w:r>
        <w:t xml:space="preserve">and residual components. The centered trend panel removes Philadelphia’s city</w:t>
      </w:r>
      <w:r>
        <w:t xml:space="preserve"> </w:t>
      </w:r>
      <w:r>
        <w:t xml:space="preserve">intercept; the seasonal panel compares like Fourier components; and the bottom</w:t>
      </w:r>
      <w:r>
        <w:t xml:space="preserve"> </w:t>
      </w:r>
      <w:r>
        <w:t xml:space="preserve">panel shows how the city-month term isolates the abrupt burglary departures</w:t>
      </w:r>
      <w:r>
        <w:t xml:space="preserve"> </w:t>
      </w:r>
      <w:r>
        <w:t xml:space="preserve">from the residual movement shared by the national sample.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4" w:name="fig-philly-burglary-components"/>
          <w:p>
            <w:pPr>
              <w:pStyle w:val="Compact"/>
              <w:jc w:val="center"/>
            </w:pPr>
            <w:r>
              <w:drawing>
                <wp:inline>
                  <wp:extent cx="5334000" cy="49530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output/markdown/images/fig-philly-burglary-components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953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6: Philadelphia and full-sample burglary components on the logit scale: centered long-run trends (top), Fourier seasonal curves (middle), and the sample-wide time-period residual compared with Philadelphia’s time-period plus city-month residual (bottom). Approximate 95% pointwise conditional intervals are shown for Philadelphia’s trend and seasonal deviations.</w:t>
            </w:r>
          </w:p>
          <w:bookmarkEnd w:id="54"/>
        </w:tc>
      </w:tr>
    </w:tbl>
    <w:bookmarkEnd w:id="55"/>
    <w:bookmarkEnd w:id="56"/>
    <w:bookmarkStart w:id="65" w:name="cities-with-unusually-different-trends"/>
    <w:p>
      <w:pPr>
        <w:pStyle w:val="Heading1"/>
      </w:pPr>
      <w:r>
        <w:t xml:space="preserve">Cities with unusually different trends</w:t>
      </w:r>
    </w:p>
    <w:p>
      <w:pPr>
        <w:pStyle w:val="FirstParagraph"/>
      </w:pPr>
      <w:r>
        <w:t xml:space="preserve">A large city intercept only says that a city has a different average level. It</w:t>
      </w:r>
      <w:r>
        <w:t xml:space="preserve"> </w:t>
      </w:r>
      <w:r>
        <w:t xml:space="preserve">does not show that the city is moving in a different direction. To find unusual</w:t>
      </w:r>
      <w:r>
        <w:t xml:space="preserve"> </w:t>
      </w:r>
      <w:r>
        <w:t xml:space="preserve">trend shapes, I center each city’s spline departure over time and summarize it</w:t>
      </w:r>
      <w:r>
        <w:t xml:space="preserve"> </w:t>
      </w:r>
      <w:r>
        <w:t xml:space="preserve">with its root-mean-square (RMS) magnitude. City-offense pairs</w:t>
      </w:r>
      <w:r>
        <w:t xml:space="preserve"> </w:t>
      </w:r>
      <w:r>
        <w:t xml:space="preserve">with fewer than 60 months were excluded. Log RMS was then standardized within</w:t>
      </w:r>
      <w:r>
        <w:t xml:space="preserve"> </w:t>
      </w:r>
      <w:r>
        <w:t xml:space="preserve">each offense using its median and median absolute deviation. Thus, every</w:t>
      </w:r>
      <w:r>
        <w:t xml:space="preserve"> </w:t>
      </w:r>
      <w:r>
        <w:t xml:space="preserve">offense contributes its two most unusual city trends, rather than allowing the</w:t>
      </w:r>
      <w:r>
        <w:t xml:space="preserve"> </w:t>
      </w:r>
      <w:r>
        <w:t xml:space="preserve">largest deviations from one offense to dominate the comparison. The ranking</w:t>
      </w:r>
      <w:r>
        <w:t xml:space="preserve"> </w:t>
      </w:r>
      <w:r>
        <w:t xml:space="preserve">excludes city intercepts, seasonal effects, shared time-period shocks, and</w:t>
      </w:r>
      <w:r>
        <w:t xml:space="preserve"> </w:t>
      </w:r>
      <w:r>
        <w:t xml:space="preserve">observation-level effects.</w:t>
      </w:r>
    </w:p>
    <w:p>
      <w:pPr>
        <w:pStyle w:val="BodyText"/>
      </w:pPr>
      <w:r>
        <w:t xml:space="preserve">For each selected city, the conditional variances of its spline coefficients</w:t>
      </w:r>
      <w:r>
        <w:t xml:space="preserve"> </w:t>
      </w:r>
      <w:r>
        <w:t xml:space="preserve">were propagated through the centered trend basis. The shaded region is the</w:t>
      </w:r>
      <w:r>
        <w:t xml:space="preserve"> </w:t>
      </w:r>
      <w:r>
        <w:t xml:space="preserve">resulting estimate plus or minus 1.96 pointwise standard errors. Because</w:t>
      </w:r>
      <w:r>
        <w:t xml:space="preserve"> </w:t>
      </w:r>
      <w:r>
        <w:rPr>
          <w:rStyle w:val="VerbatimChar"/>
        </w:rPr>
        <w:t xml:space="preserve">glmmTMB</w:t>
      </w:r>
      <w:r>
        <w:t xml:space="preserve"> </w:t>
      </w:r>
      <w:r>
        <w:t xml:space="preserve">supplies diagonal conditional variances for these</w:t>
      </w:r>
      <w:r>
        <w:t xml:space="preserve"> </w:t>
      </w:r>
      <w:r>
        <w:rPr>
          <w:rStyle w:val="VerbatimChar"/>
        </w:rPr>
        <w:t xml:space="preserve">homdiag</w:t>
      </w:r>
      <w:r>
        <w:t xml:space="preserve"> </w:t>
      </w:r>
      <w:r>
        <w:t xml:space="preserve">blocks,</w:t>
      </w:r>
      <w:r>
        <w:t xml:space="preserve"> </w:t>
      </w:r>
      <w:r>
        <w:t xml:space="preserve">the calculation omits posterior covariance among basis coefficients and</w:t>
      </w:r>
      <w:r>
        <w:t xml:space="preserve"> </w:t>
      </w:r>
      <w:r>
        <w:t xml:space="preserve">conditions on the fitted global curve and variance parameters. The ribbons are</w:t>
      </w:r>
      <w:r>
        <w:t xml:space="preserve"> </w:t>
      </w:r>
      <w:r>
        <w:t xml:space="preserve">therefore approximate pointwise uncertainty intervals, not simultaneous bands</w:t>
      </w:r>
      <w:r>
        <w:t xml:space="preserve"> </w:t>
      </w:r>
      <w:r>
        <w:t xml:space="preserve">or intervals for a new city’s trajectory.</w:t>
      </w:r>
    </w:p>
    <w:p>
      <w:pPr>
        <w:pStyle w:val="TableCaption"/>
      </w:pPr>
      <w:r>
        <w:t xml:space="preserve">Two cities with the largest standardized trend departures within each offense. RMS is calculated on the centered logit-scale spline departure; score is the within-offense robust standardized log RMS.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wo cities with the largest standardized trend departures within each offense. RMS is calculated on the centered logit-scale spline departure; score is the within-offense robust standardized log RMS."/>
      </w:tblPr>
      <w:tblGrid>
        <w:gridCol w:w="1466"/>
        <w:gridCol w:w="2933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Offense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Portland, OR (RMS 0.270; score 3.51)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Baltimore, MD (RMS 0.246; score 3.30)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Paulding, GA (RMS 0.779; score 4.60)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College, PA (RMS 0.676; score 4.21)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Robbery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Arlington, VA (RMS 0.558; score 4.12)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San Francisco, CA (RMS 0.413; score 3.26)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Scranton, PA (RMS 0.845; score 4.81)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Euclid, OH (RMS 0.576; score 3.75)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Burglary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Mateo, CA (RMS 0.587; score 4.20)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Palatine, IL (RMS 0.554; score 4.03)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Upper Darby, PA (RMS 0.539; score 5.06)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Vallejo, CA (RMS 0.510; score 4.88)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Motor Vehicle Theft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Tulare, CA (RMS 0.939; score 4.82)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Burlington, VT (RMS 0.881; score 4.63)</w:t>
            </w:r>
          </w:p>
        </w:tc>
      </w:tr>
    </w:tbl>
    <w:p>
      <w:pPr>
        <w:pStyle w:val="BodyText"/>
      </w:pPr>
      <w:hyperlink w:anchor="fig-trend-outliers-a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trend-outliers-b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compare each selected city’s</w:t>
      </w:r>
      <w:r>
        <w:t xml:space="preserve"> </w:t>
      </w:r>
      <w:r>
        <w:t xml:space="preserve">centered trend with the corresponding global trend. Centering removes both the</w:t>
      </w:r>
      <w:r>
        <w:t xml:space="preserve"> </w:t>
      </w:r>
      <w:r>
        <w:t xml:space="preserve">global intercept and the city random intercept, so separation between the lines</w:t>
      </w:r>
      <w:r>
        <w:t xml:space="preserve"> </w:t>
      </w:r>
      <w:r>
        <w:t xml:space="preserve">represents trajectory rather than average crime level.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0" w:name="fig-trend-outliers-a"/>
          <w:p>
            <w:pPr>
              <w:pStyle w:val="Compact"/>
              <w:jc w:val="center"/>
            </w:pPr>
            <w:r>
              <w:drawing>
                <wp:inline>
                  <wp:extent cx="5334000" cy="5484812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output/markdown/images/fig-trend-outliers-a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4848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7: The two most unusual city-specific trends within murder, rape, robbery, and assault. City and global spline trends are centered separately, removing intercept differences. Selection uses within-offense robust standardized RMS trend departure; seasonal and residual terms are excluded. Shading gives approximate 95% pointwise conditional intervals for each city’s trend deviation.</w:t>
            </w:r>
          </w:p>
          <w:bookmarkEnd w:id="60"/>
        </w:tc>
      </w:tr>
    </w:tbl>
    <w:p>
      <w:r>
        <w:br w:type="page"/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4" w:name="fig-trend-outliers-b"/>
          <w:p>
            <w:pPr>
              <w:pStyle w:val="Compact"/>
              <w:jc w:val="center"/>
            </w:pPr>
            <w:r>
              <w:drawing>
                <wp:inline>
                  <wp:extent cx="5334000" cy="5484812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output/markdown/images/fig-trend-outliers-b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4848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8: The two most unusual city-specific trends within burglary, theft, and motor vehicle theft. City and global spline trends are centered separately, removing intercept differences. Selection uses within-offense robust standardized RMS trend departure; seasonal and residual terms are excluded. Shading gives approximate 95% pointwise conditional intervals for each city’s trend deviation.</w:t>
            </w:r>
          </w:p>
          <w:bookmarkEnd w:id="64"/>
        </w:tc>
      </w:tr>
    </w:tbl>
    <w:bookmarkEnd w:id="65"/>
    <w:bookmarkStart w:id="74" w:name="cities-with-different-seasonal-patterns"/>
    <w:p>
      <w:pPr>
        <w:pStyle w:val="Heading1"/>
      </w:pPr>
      <w:r>
        <w:t xml:space="preserve">Cities with different seasonal patterns</w:t>
      </w:r>
    </w:p>
    <w:p>
      <w:pPr>
        <w:pStyle w:val="FirstParagraph"/>
      </w:pPr>
      <w:r>
        <w:t xml:space="preserve">I rank seasonal departures separately from trend departures. For each</w:t>
      </w:r>
      <w:r>
        <w:t xml:space="preserve"> </w:t>
      </w:r>
      <w:r>
        <w:t xml:space="preserve">city-offense pair, I evaluate its six city-specific Fourier coefficients</w:t>
      </w:r>
      <w:r>
        <w:t xml:space="preserve"> </w:t>
      </w:r>
      <w:r>
        <w:t xml:space="preserve">over the 12 months and summarized by the RMS departure from the global</w:t>
      </w:r>
      <w:r>
        <w:t xml:space="preserve"> </w:t>
      </w:r>
      <w:r>
        <w:t xml:space="preserve">seasonal curve. Log RMS was standardized within offense by its median and</w:t>
      </w:r>
      <w:r>
        <w:t xml:space="preserve"> </w:t>
      </w:r>
      <w:r>
        <w:t xml:space="preserve">median absolute deviation. The two leading cities are retained separately for</w:t>
      </w:r>
      <w:r>
        <w:t xml:space="preserve"> </w:t>
      </w:r>
      <w:r>
        <w:t xml:space="preserve">every offense. This metric excludes city intercepts, long-run trend departures,</w:t>
      </w:r>
      <w:r>
        <w:t xml:space="preserve"> </w:t>
      </w:r>
      <w:r>
        <w:t xml:space="preserve">common monthly shocks, and observation-level effects.</w:t>
      </w:r>
      <w:r>
        <w:t xml:space="preserve"> </w:t>
      </w:r>
      <w:r>
        <w:t xml:space="preserve">Seasonal ribbons use the same diagonal conditional-variance propagation through</w:t>
      </w:r>
      <w:r>
        <w:t xml:space="preserve"> </w:t>
      </w:r>
      <w:r>
        <w:t xml:space="preserve">the centered Fourier basis and have the same pointwise, conditional</w:t>
      </w:r>
      <w:r>
        <w:t xml:space="preserve"> </w:t>
      </w:r>
      <w:r>
        <w:t xml:space="preserve">interpretation as the trend ribbons.</w:t>
      </w:r>
    </w:p>
    <w:p>
      <w:pPr>
        <w:pStyle w:val="TableCaption"/>
      </w:pPr>
      <w:r>
        <w:t xml:space="preserve">Two cities with the largest standardized seasonal departures within each offense. RMS is calculated from the city-specific Fourier departure over the 12 months; score is the within-offense robust standardized log RMS.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wo cities with the largest standardized seasonal departures within each offense. RMS is calculated from the city-specific Fourier departure over the 12 months; score is the within-offense robust standardized log RMS."/>
      </w:tblPr>
      <w:tblGrid>
        <w:gridCol w:w="1508"/>
        <w:gridCol w:w="3017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Offense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Chicago, IL (RMS 0.085; score 4.33)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 Louis, MO (RMS 0.062; score 3.71)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Paulding, GA (RMS 0.050; score 4.19)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Colorado Springs, CO (RMS 0.047; score 4.02)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Robbery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Minneapolis, MN (RMS 0.105; score 4.10)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 Louis, MO (RMS 0.063; score 2.83)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Cincinnati, OH (RMS 0.061; score 3.98)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Independence, MO (RMS 0.050; score 3.25)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Burglary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Shawnee, KS (RMS 0.114; score 4.69)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Minneapolis, MN (RMS 0.098; score 4.05)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Burlington, VT (RMS 0.118; score 4.55)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Manchester, NH (RMS 0.079; score 3.15)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Motor Vehicle Theft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Kalamazoo, MI (RMS 0.060; score 3.53)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Galveston, TX (RMS 0.056; score 3.32)</w:t>
            </w:r>
          </w:p>
        </w:tc>
      </w:tr>
    </w:tbl>
    <w:p>
      <w:pPr>
        <w:pStyle w:val="BodyText"/>
      </w:pPr>
      <w:hyperlink w:anchor="fig-seasonal-outliers-a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and</w:t>
      </w:r>
      <w:r>
        <w:t xml:space="preserve"> </w:t>
      </w:r>
      <w:hyperlink w:anchor="fig-seasonal-outliers-b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superimpose every selected</w:t>
      </w:r>
      <w:r>
        <w:t xml:space="preserve"> </w:t>
      </w:r>
      <w:r>
        <w:t xml:space="preserve">city’s fitted seasonal curve on the corresponding offense-wide curve.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9" w:name="fig-seasonal-outliers-a"/>
          <w:p>
            <w:pPr>
              <w:pStyle w:val="Compact"/>
              <w:jc w:val="center"/>
            </w:pPr>
            <w:r>
              <w:drawing>
                <wp:inline>
                  <wp:extent cx="5334000" cy="5484812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output/markdown/images/fig-seasonal-outliers-a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4848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9: The two most unusual city-specific seasonal patterns within murder, rape, robbery, and assault. Curves show the global and city-specific Fourier seasonal components over month of year on the logit scale; intercepts, trends, and residual terms are excluded. Shading gives approximate 95% pointwise conditional intervals for each city’s seasonal deviation.</w:t>
            </w:r>
          </w:p>
          <w:bookmarkEnd w:id="69"/>
        </w:tc>
      </w:tr>
    </w:tbl>
    <w:p>
      <w:r>
        <w:br w:type="page"/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3" w:name="fig-seasonal-outliers-b"/>
          <w:p>
            <w:pPr>
              <w:pStyle w:val="Compact"/>
              <w:jc w:val="center"/>
            </w:pPr>
            <w:r>
              <w:drawing>
                <wp:inline>
                  <wp:extent cx="5334000" cy="5484812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output/markdown/images/fig-seasonal-outliers-b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4848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10: The two most unusual city-specific seasonal patterns within burglary, theft, and motor vehicle theft. Curves show the global and city-specific Fourier seasonal components over month of year on the logit scale; intercepts, trends, and residual terms are excluded. Shading gives approximate 95% pointwise conditional intervals for each city’s seasonal deviation.</w:t>
            </w:r>
          </w:p>
          <w:bookmarkEnd w:id="73"/>
        </w:tc>
      </w:tr>
    </w:tbl>
    <w:bookmarkEnd w:id="74"/>
    <w:bookmarkStart w:id="84" w:name="Xf998fc8b0203a1ab9748070b906fe2e866b0e0d"/>
    <w:p>
      <w:pPr>
        <w:pStyle w:val="Heading1"/>
      </w:pPr>
      <w:r>
        <w:t xml:space="preserve">Cities with unusually large monthly residuals</w:t>
      </w:r>
    </w:p>
    <w:p>
      <w:pPr>
        <w:pStyle w:val="FirstParagraph"/>
      </w:pPr>
      <w:r>
        <w:t xml:space="preserve">Trend and seasonal rankings describe persistent shapes. They are not designed</w:t>
      </w:r>
      <w:r>
        <w:t xml:space="preserve"> </w:t>
      </w:r>
      <w:r>
        <w:t xml:space="preserve">to identify one unusual month. For that task, I retain the month with the</w:t>
      </w:r>
      <w:r>
        <w:t xml:space="preserve"> </w:t>
      </w:r>
      <w:r>
        <w:t xml:space="preserve">largest absolute fitted observation-level effect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t</m:t>
                </m:r>
              </m:sub>
            </m:sSub>
          </m:e>
        </m:d>
      </m:oMath>
      <w:r>
        <w:t xml:space="preserve"> </w:t>
      </w:r>
      <w:r>
        <w:t xml:space="preserve">within each city</w:t>
      </w:r>
      <w:r>
        <w:t xml:space="preserve"> </w:t>
      </w:r>
      <w:r>
        <w:t xml:space="preserve">and offense. I then select the two cities with the largest values separately</w:t>
      </w:r>
      <w:r>
        <w:t xml:space="preserve"> </w:t>
      </w:r>
      <w:r>
        <w:t xml:space="preserve">for each offense. Ranking one maximum per city ensures</w:t>
      </w:r>
      <w:r>
        <w:t xml:space="preserve"> </w:t>
      </w:r>
      <w:r>
        <w:t xml:space="preserve">that a single city cannot occupy both positions for an offense. Because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is on the common logit scale within each offense, the ordering does</w:t>
      </w:r>
      <w:r>
        <w:t xml:space="preserve"> </w:t>
      </w:r>
      <w:r>
        <w:t xml:space="preserve">not depend on city population or on converting the effect to an annualized</w:t>
      </w:r>
      <w:r>
        <w:t xml:space="preserve"> </w:t>
      </w:r>
      <w:r>
        <w:t xml:space="preserve">rate. It does, however, identify fitted residual extremes rather than raw-count</w:t>
      </w:r>
      <w:r>
        <w:t xml:space="preserve"> </w:t>
      </w:r>
      <w:r>
        <w:t xml:space="preserve">anomalies.</w:t>
      </w:r>
    </w:p>
    <w:p>
      <w:pPr>
        <w:pStyle w:val="BodyText"/>
      </w:pPr>
      <w:r>
        <w:t xml:space="preserve">For each selected city-month,</w:t>
      </w:r>
      <w:r>
        <w:t xml:space="preserve"> </w:t>
      </w:r>
      <w:hyperlink w:anchor="tbl-residual-outlier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observed</w:t>
      </w:r>
      <w:r>
        <w:t xml:space="preserve"> </w:t>
      </w:r>
      <w:r>
        <w:t xml:space="preserve">outcome with the model-predicted mean before adding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. The prediction</w:t>
      </w:r>
      <w:r>
        <w:t xml:space="preserve"> </w:t>
      </w:r>
      <w:r>
        <w:t xml:space="preserve">therefore includes the city’s intercept, trend, and seasonal terms plus the</w:t>
      </w:r>
      <w:r>
        <w:t xml:space="preserve"> </w:t>
      </w:r>
      <w:r>
        <w:t xml:space="preserve">shared time-period effect, but not the observation-level residual used to rank</w:t>
      </w:r>
      <w:r>
        <w:t xml:space="preserve"> </w:t>
      </w:r>
      <w:r>
        <w:t xml:space="preserve">the city. Both observed and predicted counts are monthly.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5" w:name="tbl-residual-outlier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Observed and model-predicted monthly counts for the two cities with the largest absolute fitted city-month residual within each offense. Pred. n and Obs. n are monthly counts; e is the signed logit-scale residual.</w:t>
            </w:r>
          </w:p>
          <w:tbl>
            <w:tblPr>
              <w:tblStyle w:val="Table"/>
              <w:tblW w:type="pct" w:w="5000"/>
              <w:tblLook w:firstRow="1" w:lastRow="0" w:firstColumn="0" w:lastColumn="0" w:noHBand="0" w:noVBand="0" w:val="0020"/>
              <w:jc w:val="start"/>
              <w:tblLayout w:type="fixed"/>
            </w:tblPr>
            <w:tblGrid>
              <w:gridCol w:w="2364"/>
              <w:gridCol w:w="2482"/>
              <w:gridCol w:w="709"/>
              <w:gridCol w:w="591"/>
              <w:gridCol w:w="945"/>
              <w:gridCol w:w="827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Month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e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Pred. 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Obs. 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Murder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Las Vegas, NV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10/17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+1.0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Murder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San Antonio, TX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06/22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Bismarck, 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05/25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Henry, GA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04/21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Robbery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Vallejo, 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10/25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Robbery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Indianapolis, 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06/19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214.5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Assault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Bismarck, 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05/25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+1.4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Assault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Indianapolis, 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06/19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477.5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Burglary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St. Clair Shores, 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12/24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Burglary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Bismarck, 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05/25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+1.9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Theft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Lubbock, TX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10/17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684.9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Theft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Bismarck, 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05/25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+1.7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130.9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Motor Vehicle Theft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Columbus, OH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12/25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310.9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Motor Vehicle Theft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Cleveland, OH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12/25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210.7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75"/>
          <w:p/>
        </w:tc>
      </w:tr>
    </w:tbl>
    <w:p>
      <w:pPr>
        <w:pStyle w:val="BodyText"/>
      </w:pPr>
      <w:r>
        <w:t xml:space="preserve">Bismarck, North Dakota appears for five different offenses in May 2025, with</w:t>
      </w:r>
      <w:r>
        <w:t xml:space="preserve"> </w:t>
      </w:r>
      <w:r>
        <w:t xml:space="preserve">each observed count far above its model-predicted mean. That synchronized</w:t>
      </w:r>
      <w:r>
        <w:t xml:space="preserve"> </w:t>
      </w:r>
      <w:r>
        <w:t xml:space="preserve">cross-offense pattern is more consistent with a reporting or data-processing</w:t>
      </w:r>
      <w:r>
        <w:t xml:space="preserve"> </w:t>
      </w:r>
      <w:r>
        <w:t xml:space="preserve">issue than with simultaneous spikes in five distinct crime types. These rows</w:t>
      </w:r>
      <w:r>
        <w:t xml:space="preserve"> </w:t>
      </w:r>
      <w:r>
        <w:t xml:space="preserve">should therefore be treated as a data-quality flag, not as evidence by</w:t>
      </w:r>
      <w:r>
        <w:t xml:space="preserve"> </w:t>
      </w:r>
      <w:r>
        <w:t xml:space="preserve">themselves of a sudden broad-based increase in crime.</w:t>
      </w:r>
    </w:p>
    <w:p>
      <w:pPr>
        <w:pStyle w:val="BodyText"/>
      </w:pPr>
      <w:hyperlink w:anchor="fig-residual-outliers-a">
        <w:r>
          <w:rPr>
            <w:rStyle w:val="Hyperlink"/>
          </w:rPr>
          <w:t xml:space="preserve">Figure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fig-residual-outliers-b">
        <w:r>
          <w:rPr>
            <w:rStyle w:val="Hyperlink"/>
          </w:rPr>
          <w:t xml:space="preserve">Figure 12</w:t>
        </w:r>
      </w:hyperlink>
      <w:r>
        <w:t xml:space="preserve"> </w:t>
      </w:r>
      <w:r>
        <w:t xml:space="preserve">show the complete</w:t>
      </w:r>
      <w:r>
        <w:t xml:space="preserve"> </w:t>
      </w:r>
      <w:r>
        <w:t xml:space="preserve">city-month residual series for each selected city, with the ranked month marked</w:t>
      </w:r>
      <w:r>
        <w:t xml:space="preserve"> </w:t>
      </w:r>
      <w:r>
        <w:t xml:space="preserve">in red. These plots exclude the global trend, global season, city intercept,</w:t>
      </w:r>
      <w:r>
        <w:t xml:space="preserve"> </w:t>
      </w:r>
      <w:r>
        <w:t xml:space="preserve">city-specific trend and season, and shared time-period effect. Their vertical</w:t>
      </w:r>
      <w:r>
        <w:t xml:space="preserve"> </w:t>
      </w:r>
      <w:r>
        <w:t xml:space="preserve">scales are symmetric around zero within each panel so positive and negative</w:t>
      </w:r>
      <w:r>
        <w:t xml:space="preserve"> </w:t>
      </w:r>
      <w:r>
        <w:t xml:space="preserve">departures can be compared directly.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9" w:name="fig-residual-outliers-a"/>
          <w:p>
            <w:pPr>
              <w:pStyle w:val="Compact"/>
              <w:jc w:val="center"/>
            </w:pPr>
            <w:r>
              <w:drawing>
                <wp:inline>
                  <wp:extent cx="5334000" cy="5028406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output/markdown/images/fig-residual-outliers-a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0284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11: The two cities with the largest absolute fitted city-month residuals within murder, rape, robbery, and assault. Lines show the observation-level city-month effect over time; red points mark the month used for ranking. Panels are centered at zero and use city-specific symmetric vertical scales.</w:t>
            </w:r>
          </w:p>
          <w:bookmarkEnd w:id="79"/>
        </w:tc>
      </w:tr>
    </w:tbl>
    <w:p>
      <w:r>
        <w:br w:type="page"/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3" w:name="fig-residual-outliers-b"/>
          <w:p>
            <w:pPr>
              <w:pStyle w:val="Compact"/>
              <w:jc w:val="center"/>
            </w:pPr>
            <w:r>
              <w:drawing>
                <wp:inline>
                  <wp:extent cx="5334000" cy="5484812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output/markdown/images/fig-residual-outliers-b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4848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12: The two cities with the largest absolute fitted city-month residuals within burglary, theft, and motor vehicle theft. Lines show the observation-level city-month effect over time; red points mark the month used for ranking. Panels are centered at zero and use city-specific symmetric vertical scales.</w:t>
            </w:r>
          </w:p>
          <w:bookmarkEnd w:id="83"/>
        </w:tc>
      </w:tr>
    </w:tbl>
    <w:bookmarkEnd w:id="84"/>
    <w:bookmarkStart w:id="94" w:name="most-recent-month-residual-outliers"/>
    <w:p>
      <w:pPr>
        <w:pStyle w:val="Heading1"/>
      </w:pPr>
      <w:r>
        <w:t xml:space="preserve">Most recent month residual outliers</w:t>
      </w:r>
    </w:p>
    <w:p>
      <w:pPr>
        <w:pStyle w:val="FirstParagraph"/>
      </w:pPr>
      <w:r>
        <w:t xml:space="preserve">The preceding ranking asks which cities had the most unusual fitted month at</w:t>
      </w:r>
      <w:r>
        <w:t xml:space="preserve"> </w:t>
      </w:r>
      <w:r>
        <w:t xml:space="preserve">any point in the series. For a current monitoring question, I instead restrict</w:t>
      </w:r>
      <w:r>
        <w:t xml:space="preserve"> </w:t>
      </w:r>
      <w:r>
        <w:t xml:space="preserve">the comparison to the latest available observation within each offense.</w:t>
      </w:r>
      <w:r>
        <w:t xml:space="preserve"> </w:t>
      </w:r>
      <w:r>
        <w:t xml:space="preserve">All 7 offenses currently end in August 2026.</w:t>
      </w:r>
      <w:r>
        <w:t xml:space="preserve"> </w:t>
      </w:r>
      <w:r>
        <w:t xml:space="preserve">Within that single monthly cross-section, I rank cities by the absolute fitted</w:t>
      </w:r>
      <w:r>
        <w:t xml:space="preserve"> </w:t>
      </w:r>
      <w:r>
        <w:t xml:space="preserve">observation-level effect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t</m:t>
                </m:r>
              </m:sub>
            </m:sSub>
          </m:e>
        </m:d>
      </m:oMath>
      <w:r>
        <w:t xml:space="preserve"> </w:t>
      </w:r>
      <w:r>
        <w:t xml:space="preserve">and retain the two largest values for each</w:t>
      </w:r>
      <w:r>
        <w:t xml:space="preserve"> </w:t>
      </w:r>
      <w:r>
        <w:t xml:space="preserve">offense. This identifies the clearest recent local departures after removing</w:t>
      </w:r>
      <w:r>
        <w:t xml:space="preserve"> </w:t>
      </w:r>
      <w:r>
        <w:t xml:space="preserve">the global and city-specific trends, seasonal terms, city intercept, and shared</w:t>
      </w:r>
      <w:r>
        <w:t xml:space="preserve"> </w:t>
      </w:r>
      <w:r>
        <w:t xml:space="preserve">time-period effect. The ranking is descriptive: it does not attach a separate</w:t>
      </w:r>
      <w:r>
        <w:t xml:space="preserve"> </w:t>
      </w:r>
      <w:r>
        <w:t xml:space="preserve">hypothesis test to each city or account for revisions to the most recent data.</w:t>
      </w:r>
    </w:p>
    <w:p>
      <w:pPr>
        <w:pStyle w:val="BodyText"/>
      </w:pPr>
      <w:r>
        <w:t xml:space="preserve">For each selected city,</w:t>
      </w:r>
      <w:r>
        <w:t xml:space="preserve"> </w:t>
      </w:r>
      <w:hyperlink w:anchor="tbl-latest-residual-outlier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observed</w:t>
      </w:r>
      <w:r>
        <w:t xml:space="preserve"> </w:t>
      </w:r>
      <w:r>
        <w:t xml:space="preserve">outcome with the model-predicted mean before adding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. The prediction</w:t>
      </w:r>
      <w:r>
        <w:t xml:space="preserve"> </w:t>
      </w:r>
      <w:r>
        <w:t xml:space="preserve">therefore includes the city’s intercept, trend, and seasonal terms plus the</w:t>
      </w:r>
      <w:r>
        <w:t xml:space="preserve"> </w:t>
      </w:r>
      <w:r>
        <w:t xml:space="preserve">shared time-period effect, but not the observation-level residual used to rank</w:t>
      </w:r>
      <w:r>
        <w:t xml:space="preserve"> </w:t>
      </w:r>
      <w:r>
        <w:t xml:space="preserve">the city. Counts are monthly. Rates are annualized from that month’s count or</w:t>
      </w:r>
      <w:r>
        <w:t xml:space="preserve"> </w:t>
      </w:r>
      <w:r>
        <w:t xml:space="preserve">fitted mean and expressed per 100,000 residents.</w:t>
      </w:r>
      <w:r>
        <w:t xml:space="preserve"> </w:t>
      </w:r>
      <w:r>
        <w:t xml:space="preserve">The reported standard error for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is the conditional standard deviation</w:t>
      </w:r>
      <w:r>
        <w:t xml:space="preserve"> </w:t>
      </w:r>
      <w:r>
        <w:t xml:space="preserve">of the fitted random effect, holding the estimated fixed effects and variance</w:t>
      </w:r>
      <w:r>
        <w:t xml:space="preserve"> </w:t>
      </w:r>
      <w:r>
        <w:t xml:space="preserve">parameters fixed. It describes uncertainty after partial pooling and is not a</w:t>
      </w:r>
      <w:r>
        <w:t xml:space="preserve"> </w:t>
      </w:r>
      <w:r>
        <w:t xml:space="preserve">standard error for the raw observed-minus-predicted difference.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5" w:name="tbl-latest-residual-outlier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Observed outcomes and model-predicted means for the two cities with the largest absolute fitted city-month residual in the most recent available month for each offense. Pred. n and Obs. n are monthly counts; rate columns are annualized per 100,000 residents; e is the signed logit-scale residual.</w:t>
            </w:r>
          </w:p>
          <w:tbl>
            <w:tblPr>
              <w:tblStyle w:val="Table"/>
              <w:tblW w:type="pct" w:w="5000"/>
              <w:tblLook w:firstRow="1" w:lastRow="0" w:firstColumn="0" w:lastColumn="0" w:noHBand="0" w:noVBand="0" w:val="0020"/>
              <w:jc w:val="start"/>
              <w:tblLayout w:type="fixed"/>
            </w:tblPr>
            <w:tblGrid>
              <w:gridCol w:w="1779"/>
              <w:gridCol w:w="1690"/>
              <w:gridCol w:w="533"/>
              <w:gridCol w:w="711"/>
              <w:gridCol w:w="711"/>
              <w:gridCol w:w="622"/>
              <w:gridCol w:w="978"/>
              <w:gridCol w:w="889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e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SE(</w:t>
                  </w:r>
                  <m:oMath>
                    <m:r>
                      <m:t>e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Pred. 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Obs. 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Pred. rate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Obs.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Murder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Memphis, TN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33.6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Murder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Las Vegas, NV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Toledo, OH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Montgomery, MD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Robbery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Chicago, IL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391.7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173.1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236.4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Robbery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Toledo, OH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74.0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Assault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Toledo, OH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Assault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Portland, OR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Burglary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Toledo, OH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304.3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Burglary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Green Township, OH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278.0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1172.8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Theft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Toledo, OH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194.8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884.0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Theft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Hamilton, OH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1071.4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Motor Vehicle Theft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Point, NC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244.0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692.4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Motor Vehicle Theft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Waterbury, CT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+0.70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334.0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855.5</w:t>
                  </w:r>
                </w:p>
              </w:tc>
            </w:tr>
          </w:tbl>
          <w:bookmarkEnd w:id="85"/>
          <w:p/>
        </w:tc>
      </w:tr>
    </w:tbl>
    <w:p>
      <w:pPr>
        <w:pStyle w:val="BodyText"/>
      </w:pPr>
      <w:hyperlink w:anchor="fig-latest-residual-outliers-a">
        <w:r>
          <w:rPr>
            <w:rStyle w:val="Hyperlink"/>
          </w:rPr>
          <w:t xml:space="preserve">Figure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fig-latest-residual-outliers-b">
        <w:r>
          <w:rPr>
            <w:rStyle w:val="Hyperlink"/>
          </w:rPr>
          <w:t xml:space="preserve">Figure 14</w:t>
        </w:r>
      </w:hyperlink>
      <w:r>
        <w:t xml:space="preserve"> </w:t>
      </w:r>
      <w:r>
        <w:t xml:space="preserve">retain each</w:t>
      </w:r>
      <w:r>
        <w:t xml:space="preserve"> </w:t>
      </w:r>
      <w:r>
        <w:t xml:space="preserve">selected city’s full residual history for context, while the red point marks</w:t>
      </w:r>
      <w:r>
        <w:t xml:space="preserve"> </w:t>
      </w:r>
      <w:r>
        <w:t xml:space="preserve">the latest observation used in the ranking. Consequently, earlier residuals</w:t>
      </w:r>
      <w:r>
        <w:t xml:space="preserve"> </w:t>
      </w:r>
      <w:r>
        <w:t xml:space="preserve">shown in these panels do not influence which cities were selected.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9" w:name="fig-latest-residual-outliers-a"/>
          <w:p>
            <w:pPr>
              <w:pStyle w:val="Compact"/>
              <w:jc w:val="center"/>
            </w:pPr>
            <w:r>
              <w:drawing>
                <wp:inline>
                  <wp:extent cx="5334000" cy="5028406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output/markdown/images/fig-latest-residual-outliers-a-1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0284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13: The two largest absolute fitted city-month residuals in the most recent month within murder, rape, robbery, and assault. Lines provide each selected city’s full residual history for context; red points mark the latest month used for ranking. Panels are centered at zero and use city-specific symmetric vertical scales.</w:t>
            </w:r>
          </w:p>
          <w:bookmarkEnd w:id="89"/>
        </w:tc>
      </w:tr>
    </w:tbl>
    <w:p>
      <w:r>
        <w:br w:type="page"/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3" w:name="fig-latest-residual-outliers-b"/>
          <w:p>
            <w:pPr>
              <w:pStyle w:val="Compact"/>
              <w:jc w:val="center"/>
            </w:pPr>
            <w:r>
              <w:drawing>
                <wp:inline>
                  <wp:extent cx="5334000" cy="5484812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output/markdown/images/fig-latest-residual-outliers-b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4848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14: The two largest absolute fitted city-month residuals in the most recent month within burglary, theft, and motor vehicle theft. Lines provide each selected city’s full residual history for context; red points mark the latest month used for ranking. Panels are centered at zero and use city-specific symmetric vertical scales.</w:t>
            </w:r>
          </w:p>
          <w:bookmarkEnd w:id="93"/>
        </w:tc>
      </w:tr>
    </w:tbl>
    <w:bookmarkEnd w:id="94"/>
    <w:bookmarkStart w:id="108" w:name="interactive-web-application"/>
    <w:p>
      <w:pPr>
        <w:pStyle w:val="Heading1"/>
      </w:pPr>
      <w:r>
        <w:t xml:space="preserve">Interactive web application</w:t>
      </w:r>
    </w:p>
    <w:p>
      <w:pPr>
        <w:pStyle w:val="FirstParagraph"/>
      </w:pPr>
      <w:r>
        <w:t xml:space="preserve">The</w:t>
      </w:r>
      <w:r>
        <w:t xml:space="preserve"> </w:t>
      </w:r>
      <w:hyperlink r:id="rId95">
        <w:r>
          <w:rPr>
            <w:rStyle w:val="Hyperlink"/>
          </w:rPr>
          <w:t xml:space="preserve">live web application</w:t>
        </w:r>
      </w:hyperlink>
      <w:r>
        <w:t xml:space="preserve"> </w:t>
      </w:r>
      <w:r>
        <w:t xml:space="preserve">turns</w:t>
      </w:r>
      <w:r>
        <w:t xml:space="preserve"> </w:t>
      </w:r>
      <w:r>
        <w:t xml:space="preserve">the saved decomposition into an exploratory companion to the paper. Its</w:t>
      </w:r>
      <w:r>
        <w:t xml:space="preserve"> </w:t>
      </w:r>
      <w:r>
        <w:t xml:space="preserve">overview page shows the global trend, seasonal pattern, and shared monthly</w:t>
      </w:r>
      <w:r>
        <w:t xml:space="preserve"> </w:t>
      </w:r>
      <w:r>
        <w:t xml:space="preserve">effect for each offense. The city page filters jurisdictions by state and then</w:t>
      </w:r>
      <w:r>
        <w:t xml:space="preserve"> </w:t>
      </w:r>
      <w:r>
        <w:t xml:space="preserve">compares a selected city’s observed and fitted rates with the US-wide and local</w:t>
      </w:r>
      <w:r>
        <w:t xml:space="preserve"> </w:t>
      </w:r>
      <w:r>
        <w:t xml:space="preserve">trend, seasonal, and residual components. The all-city page displays every</w:t>
      </w:r>
      <w:r>
        <w:t xml:space="preserve"> </w:t>
      </w:r>
      <w:r>
        <w:t xml:space="preserve">city’s centered trend and seasonal curve and its observation-level monthly</w:t>
      </w:r>
      <w:r>
        <w:t xml:space="preserve"> </w:t>
      </w:r>
      <w:r>
        <w:t xml:space="preserve">residuals; hovering identifies individual cities, while a shaded band</w:t>
      </w:r>
      <w:r>
        <w:t xml:space="preserve"> </w:t>
      </w:r>
      <w:r>
        <w:t xml:space="preserve">summarizes the middle 80% of city curves.</w:t>
      </w:r>
    </w:p>
    <w:p>
      <w:pPr>
        <w:pStyle w:val="BodyText"/>
      </w:pPr>
      <w:r>
        <w:t xml:space="preserve">The demonstrations below are the same animations shown in the</w:t>
      </w:r>
      <w:r>
        <w:t xml:space="preserve"> </w:t>
      </w:r>
      <w:hyperlink r:id="rId96">
        <w:r>
          <w:rPr>
            <w:rStyle w:val="Hyperlink"/>
          </w:rPr>
          <w:t xml:space="preserve">companion blog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post</w:t>
        </w:r>
      </w:hyperlink>
      <w:r>
        <w:t xml:space="preserve">. In the Word and</w:t>
      </w:r>
      <w:r>
        <w:t xml:space="preserve"> </w:t>
      </w:r>
      <w:r>
        <w:t xml:space="preserve">Markdown versions they are embedded as animated GIFs; in the PDF, each caption</w:t>
      </w:r>
      <w:r>
        <w:t xml:space="preserve"> </w:t>
      </w:r>
      <w:r>
        <w:t xml:space="preserve">links to the corresponding animation.</w:t>
      </w:r>
    </w:p>
    <w:p>
      <w:pPr>
        <w:pStyle w:val="CaptionedFigure"/>
      </w:pPr>
      <w:r>
        <w:drawing>
          <wp:inline>
            <wp:extent cx="4800600" cy="2588323"/>
            <wp:effectExtent b="0" l="0" r="0" t="0"/>
            <wp:docPr descr="City detail: selecting Philadelphia burglary and comparing observed, global, city-specific, and residual patterns." title="" id="98" name="Picture"/>
            <a:graphic>
              <a:graphicData uri="http://schemas.openxmlformats.org/drawingml/2006/picture">
                <pic:pic>
                  <pic:nvPicPr>
                    <pic:cNvPr descr="https://crimede-coder.com/images/Philly.gif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88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City detail: selecting Philadelphia burglary and comparing observed, global, city-specific, and residual patterns.</w:t>
      </w:r>
    </w:p>
    <w:p>
      <w:pPr>
        <w:pStyle w:val="CaptionedFigure"/>
      </w:pPr>
      <w:r>
        <w:drawing>
          <wp:inline>
            <wp:extent cx="4800600" cy="2588323"/>
            <wp:effectExtent b="0" l="0" r="0" t="0"/>
            <wp:docPr descr="All-city curves: exploring national and city-level trends and identifying jurisdictions with distinctive trajectories." title="" id="101" name="Picture"/>
            <a:graphic>
              <a:graphicData uri="http://schemas.openxmlformats.org/drawingml/2006/picture">
                <pic:pic>
                  <pic:nvPicPr>
                    <pic:cNvPr descr="https://crimede-coder.com/images/Curve.gif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88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All-city curves: exploring national and city-level trends and identifying jurisdictions with distinctive trajectories.</w:t>
      </w:r>
    </w:p>
    <w:p>
      <w:pPr>
        <w:pStyle w:val="CaptionedFigure"/>
      </w:pPr>
      <w:r>
        <w:drawing>
          <wp:inline>
            <wp:extent cx="4800600" cy="2588323"/>
            <wp:effectExtent b="0" l="0" r="0" t="0"/>
            <wp:docPr descr="Monthly residuals: examining city-month departures around zero and identifying observations that merit follow-up." title="" id="104" name="Picture"/>
            <a:graphic>
              <a:graphicData uri="http://schemas.openxmlformats.org/drawingml/2006/picture">
                <pic:pic>
                  <pic:nvPicPr>
                    <pic:cNvPr descr="https://crimede-coder.com/images/Outlier.gif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88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Monthly residuals: examining city-month departures around zero and identifying observations that merit follow-up.</w:t>
      </w:r>
    </w:p>
    <w:p>
      <w:pPr>
        <w:pStyle w:val="BodyText"/>
      </w:pPr>
      <w:r>
        <w:t xml:space="preserve">The complete source, app code, and reproducible workflow are maintained in the</w:t>
      </w:r>
      <w:r>
        <w:t xml:space="preserve"> </w:t>
      </w:r>
      <w:hyperlink r:id="rId106">
        <w:r>
          <w:rPr>
            <w:rStyle w:val="Hyperlink"/>
          </w:rPr>
          <w:t xml:space="preserve">GitHub repository</w:t>
        </w:r>
      </w:hyperlink>
      <w:r>
        <w:t xml:space="preserve">. The</w:t>
      </w:r>
      <w:r>
        <w:t xml:space="preserve"> </w:t>
      </w:r>
      <w:hyperlink r:id="rId95">
        <w:r>
          <w:rPr>
            <w:rStyle w:val="Hyperlink"/>
          </w:rPr>
          <w:t xml:space="preserve">live web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application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7">
        <w:r>
          <w:rPr>
            <w:rStyle w:val="Hyperlink"/>
          </w:rPr>
          <w:t xml:space="preserve">GitHub-rendered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Markdown paper</w:t>
        </w:r>
      </w:hyperlink>
      <w:r>
        <w:t xml:space="preserve"> </w:t>
      </w:r>
      <w:r>
        <w:t xml:space="preserve">will</w:t>
      </w:r>
      <w:r>
        <w:t xml:space="preserve"> </w:t>
      </w:r>
      <w:r>
        <w:t xml:space="preserve">be updated when the RTCI data are updated.</w:t>
      </w:r>
    </w:p>
    <w:bookmarkEnd w:id="108"/>
    <w:bookmarkStart w:id="109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The main lesson is to avoid forcing every change into one story. The global</w:t>
      </w:r>
      <w:r>
        <w:t xml:space="preserve"> </w:t>
      </w:r>
      <w:r>
        <w:t xml:space="preserve">smooth describes movement shared across the sample. A changing gap between a</w:t>
      </w:r>
      <w:r>
        <w:t xml:space="preserve"> </w:t>
      </w:r>
      <w:r>
        <w:t xml:space="preserve">city and that smooth indicates a different local trajectory. The residual term</w:t>
      </w:r>
      <w:r>
        <w:t xml:space="preserve"> </w:t>
      </w:r>
      <w:r>
        <w:t xml:space="preserve">then identifies months that neither smooth explains. Philadelphia burglary in</w:t>
      </w:r>
      <w:r>
        <w:t xml:space="preserve"> </w:t>
      </w:r>
      <w:r>
        <w:t xml:space="preserve">2020 is a clear example: June and October are important observations, but they</w:t>
      </w:r>
      <w:r>
        <w:t xml:space="preserve"> </w:t>
      </w:r>
      <w:r>
        <w:t xml:space="preserve">should not redefine the city’s long-run curve.</w:t>
      </w:r>
    </w:p>
    <w:p>
      <w:pPr>
        <w:pStyle w:val="BodyText"/>
      </w:pPr>
      <w:r>
        <w:t xml:space="preserve">This distinction extends the practical monitoring argument in my earlier work.</w:t>
      </w:r>
      <w:r>
        <w:t xml:space="preserve"> </w:t>
      </w:r>
      <w:r>
        <w:t xml:space="preserve">Percent changes can make ordinary low-count variation look dramatic, while a</w:t>
      </w:r>
      <w:r>
        <w:t xml:space="preserve"> </w:t>
      </w:r>
      <w:r>
        <w:t xml:space="preserve">single national series can hide substantial differences among cities</w:t>
      </w:r>
      <w:r>
        <w:t xml:space="preserve"> </w:t>
      </w:r>
      <w:r>
        <w:t xml:space="preserve">(</w:t>
      </w:r>
      <w:hyperlink w:anchor="ref-wheeler2016">
        <w:r>
          <w:rPr>
            <w:rStyle w:val="Hyperlink"/>
          </w:rPr>
          <w:t xml:space="preserve">Wheeler 2016</w:t>
        </w:r>
      </w:hyperlink>
      <w:r>
        <w:t xml:space="preserve">;</w:t>
      </w:r>
      <w:r>
        <w:t xml:space="preserve"> </w:t>
      </w:r>
      <w:hyperlink w:anchor="ref-wheeler2018">
        <w:r>
          <w:rPr>
            <w:rStyle w:val="Hyperlink"/>
          </w:rPr>
          <w:t xml:space="preserve">Wheeler and Kovandzic 2018</w:t>
        </w:r>
      </w:hyperlink>
      <w:r>
        <w:t xml:space="preserve">)</w:t>
      </w:r>
      <w:r>
        <w:t xml:space="preserve">. Fan charts address uncertainty around a forecast</w:t>
      </w:r>
      <w:r>
        <w:t xml:space="preserve"> </w:t>
      </w:r>
      <w:r>
        <w:t xml:space="preserve">(</w:t>
      </w:r>
      <w:hyperlink w:anchor="ref-yim2020">
        <w:r>
          <w:rPr>
            <w:rStyle w:val="Hyperlink"/>
          </w:rPr>
          <w:t xml:space="preserve">Yim, Riddell, and Wheeler 2020</w:t>
        </w:r>
      </w:hyperlink>
      <w:r>
        <w:t xml:space="preserve">)</w:t>
      </w:r>
      <w:r>
        <w:t xml:space="preserve">. The present model instead separates smooth common movement,</w:t>
      </w:r>
      <w:r>
        <w:t xml:space="preserve"> </w:t>
      </w:r>
      <w:r>
        <w:t xml:space="preserve">sustained city departures, and local monthly residuals. These are complementary</w:t>
      </w:r>
      <w:r>
        <w:t xml:space="preserve"> </w:t>
      </w:r>
      <w:r>
        <w:t xml:space="preserve">tasks, not competing definitions of a crime trend.</w:t>
      </w:r>
    </w:p>
    <w:p>
      <w:pPr>
        <w:pStyle w:val="BodyText"/>
      </w:pPr>
      <w:r>
        <w:t xml:space="preserve">Partial pooling is what makes the city comparisons useful. If I estimated an</w:t>
      </w:r>
      <w:r>
        <w:t xml:space="preserve"> </w:t>
      </w:r>
      <w:r>
        <w:t xml:space="preserve">unconstrained curve for every city, the noisiest series would tend to look the</w:t>
      </w:r>
      <w:r>
        <w:t xml:space="preserve"> </w:t>
      </w:r>
      <w:r>
        <w:t xml:space="preserve">most distinctive. The shared variance parameters let well-supported city</w:t>
      </w:r>
      <w:r>
        <w:t xml:space="preserve"> </w:t>
      </w:r>
      <w:r>
        <w:t xml:space="preserve">patterns depart from the global curve while pulling unstable patterns toward</w:t>
      </w:r>
      <w:r>
        <w:t xml:space="preserve"> </w:t>
      </w:r>
      <w:r>
        <w:t xml:space="preserve">it</w:t>
      </w:r>
      <w:r>
        <w:t xml:space="preserve"> </w:t>
      </w:r>
      <w:r>
        <w:t xml:space="preserve">(</w:t>
      </w:r>
      <w:hyperlink w:anchor="ref-pedersen2019">
        <w:r>
          <w:rPr>
            <w:rStyle w:val="Hyperlink"/>
          </w:rPr>
          <w:t xml:space="preserve">Pedersen et al. 2019</w:t>
        </w:r>
      </w:hyperlink>
      <w:r>
        <w:t xml:space="preserve">;</w:t>
      </w:r>
      <w:r>
        <w:t xml:space="preserve"> </w:t>
      </w:r>
      <w:hyperlink w:anchor="ref-simpson2017">
        <w:r>
          <w:rPr>
            <w:rStyle w:val="Hyperlink"/>
          </w:rPr>
          <w:t xml:space="preserve">Simpson 2017</w:t>
        </w:r>
      </w:hyperlink>
      <w:r>
        <w:t xml:space="preserve">)</w:t>
      </w:r>
      <w:r>
        <w:t xml:space="preserve">. This is especially important when comparing</w:t>
      </w:r>
      <w:r>
        <w:t xml:space="preserve"> </w:t>
      </w:r>
      <w:r>
        <w:t xml:space="preserve">547 cities with very different populations and crime counts.</w:t>
      </w:r>
    </w:p>
    <w:p>
      <w:pPr>
        <w:pStyle w:val="BodyText"/>
      </w:pPr>
      <w:r>
        <w:t xml:space="preserve">A useful future extension would turn the residual screen into a formal</w:t>
      </w:r>
      <w:r>
        <w:t xml:space="preserve"> </w:t>
      </w:r>
      <w:r>
        <w:t xml:space="preserve">multiple-testing procedure. For each city-month effect, one could calculate a</w:t>
      </w:r>
      <w:r>
        <w:t xml:space="preserve"> </w:t>
      </w:r>
      <w:r>
        <w:t xml:space="preserve">standardized statistic from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and its conditional standard error,</w:t>
      </w:r>
      <w:r>
        <w:t xml:space="preserve"> </w:t>
      </w:r>
      <w:r>
        <w:t xml:space="preserve">convert that statistic to a two-sided p-value, and then apply a false discovery</w:t>
      </w:r>
      <w:r>
        <w:t xml:space="preserve"> </w:t>
      </w:r>
      <w:r>
        <w:t xml:space="preserve">rate (FDR) correction across a prespecified family of cities and offenses. This</w:t>
      </w:r>
      <w:r>
        <w:t xml:space="preserve"> </w:t>
      </w:r>
      <w:r>
        <w:t xml:space="preserve">would address the fact that, when hundreds of cities are screened at once, some</w:t>
      </w:r>
      <w:r>
        <w:t xml:space="preserve"> </w:t>
      </w:r>
      <w:r>
        <w:t xml:space="preserve">apparently unusual residuals will occur by chance. Similar multiplicity issues</w:t>
      </w:r>
      <w:r>
        <w:t xml:space="preserve"> </w:t>
      </w:r>
      <w:r>
        <w:t xml:space="preserve">arise when the spatial point pattern test is used to identify local differences</w:t>
      </w:r>
      <w:r>
        <w:t xml:space="preserve"> </w:t>
      </w:r>
      <w:r>
        <w:t xml:space="preserve">across many areas; my prior work examined corrected local proportion tests, and</w:t>
      </w:r>
      <w:r>
        <w:t xml:space="preserve"> </w:t>
      </w:r>
      <w:r>
        <w:t xml:space="preserve">the Buffalo shooting analysis applied an FDR correction to the local spatial</w:t>
      </w:r>
      <w:r>
        <w:t xml:space="preserve"> </w:t>
      </w:r>
      <w:r>
        <w:t xml:space="preserve">comparisons</w:t>
      </w:r>
      <w:r>
        <w:t xml:space="preserve"> </w:t>
      </w:r>
      <w:r>
        <w:t xml:space="preserve">(</w:t>
      </w:r>
      <w:hyperlink w:anchor="ref-wheeler2018sppt">
        <w:r>
          <w:rPr>
            <w:rStyle w:val="Hyperlink"/>
          </w:rPr>
          <w:t xml:space="preserve">Wheeler, Steenbeek, and Andresen 2018</w:t>
        </w:r>
      </w:hyperlink>
      <w:r>
        <w:t xml:space="preserve">;</w:t>
      </w:r>
      <w:r>
        <w:t xml:space="preserve"> </w:t>
      </w:r>
      <w:hyperlink w:anchor="ref-drake2023">
        <w:r>
          <w:rPr>
            <w:rStyle w:val="Hyperlink"/>
          </w:rPr>
          <w:t xml:space="preserve">Drake et al. 2023</w:t>
        </w:r>
      </w:hyperlink>
      <w:r>
        <w:t xml:space="preserve">;</w:t>
      </w:r>
      <w:r>
        <w:t xml:space="preserve"> </w:t>
      </w:r>
      <w:hyperlink w:anchor="ref-benjamini1995">
        <w:r>
          <w:rPr>
            <w:rStyle w:val="Hyperlink"/>
          </w:rPr>
          <w:t xml:space="preserve">Benjamini and Hochberg 1995</w:t>
        </w:r>
      </w:hyperlink>
      <w:r>
        <w:t xml:space="preserve">)</w:t>
      </w:r>
      <w:r>
        <w:t xml:space="preserve">. Because the proposed</w:t>
      </w:r>
      <w:r>
        <w:t xml:space="preserve"> </w:t>
      </w:r>
      <w:r>
        <w:t xml:space="preserve">tests would use shrunken random-effect estimates rather than independent raw</w:t>
      </w:r>
      <w:r>
        <w:t xml:space="preserve"> </w:t>
      </w:r>
      <w:r>
        <w:t xml:space="preserve">contrasts, their calibration should first be checked with simulation or a</w:t>
      </w:r>
      <w:r>
        <w:t xml:space="preserve"> </w:t>
      </w:r>
      <w:r>
        <w:t xml:space="preserve">parametric bootstrap.</w:t>
      </w:r>
    </w:p>
    <w:p>
      <w:pPr>
        <w:pStyle w:val="BodyText"/>
      </w:pPr>
      <w:r>
        <w:t xml:space="preserve">The results are not causal effects or forecasts. Reported crime depends on</w:t>
      </w:r>
      <w:r>
        <w:t xml:space="preserve"> </w:t>
      </w:r>
      <w:r>
        <w:t xml:space="preserve">reporting practices, agency participation, revisions, and population</w:t>
      </w:r>
      <w:r>
        <w:t xml:space="preserve"> </w:t>
      </w:r>
      <w:r>
        <w:t xml:space="preserve">denominators. The binomial model gives counts and population a coherent link,</w:t>
      </w:r>
      <w:r>
        <w:t xml:space="preserve"> </w:t>
      </w:r>
      <w:r>
        <w:t xml:space="preserve">but it does not mean that residents have independent and identical risks. The</w:t>
      </w:r>
      <w:r>
        <w:t xml:space="preserve"> </w:t>
      </w:r>
      <w:r>
        <w:t xml:space="preserve">observation-level random effect accommodates extra variation; it does not tell</w:t>
      </w:r>
      <w:r>
        <w:t xml:space="preserve"> </w:t>
      </w:r>
      <w:r>
        <w:t xml:space="preserve">us why a particular month is unusual. I therefore view the estimates as a</w:t>
      </w:r>
      <w:r>
        <w:t xml:space="preserve"> </w:t>
      </w:r>
      <w:r>
        <w:t xml:space="preserve">monitoring and comparison tool. They show where to look next, not what caused</w:t>
      </w:r>
      <w:r>
        <w:t xml:space="preserve"> </w:t>
      </w:r>
      <w:r>
        <w:t xml:space="preserve">the pattern.</w:t>
      </w:r>
    </w:p>
    <w:bookmarkEnd w:id="109"/>
    <w:bookmarkStart w:id="110" w:name="reproducibility-and-acknowledgments"/>
    <w:p>
      <w:pPr>
        <w:pStyle w:val="Heading1"/>
      </w:pPr>
      <w:r>
        <w:t xml:space="preserve">Reproducibility and acknowledgments</w:t>
      </w:r>
    </w:p>
    <w:p>
      <w:pPr>
        <w:pStyle w:val="FirstParagraph"/>
      </w:pPr>
      <w:r>
        <w:t xml:space="preserve">The code, paper text, and web application were generated entirely through</w:t>
      </w:r>
      <w:r>
        <w:t xml:space="preserve"> </w:t>
      </w:r>
      <w:r>
        <w:t xml:space="preserve">prompting OpenAI Codex using Luna and Sol, with substantive review and direction</w:t>
      </w:r>
      <w:r>
        <w:t xml:space="preserve"> </w:t>
      </w:r>
      <w:r>
        <w:t xml:space="preserve">from the author. Generated metadata records the exact model formulas and</w:t>
      </w:r>
      <w:r>
        <w:t xml:space="preserve"> </w:t>
      </w:r>
      <w:r>
        <w:t xml:space="preserve">settings, and source data are cached in the repository.</w:t>
      </w:r>
    </w:p>
    <w:bookmarkEnd w:id="110"/>
    <w:bookmarkStart w:id="147" w:name="references"/>
    <w:p>
      <w:pPr>
        <w:pStyle w:val="Heading1"/>
      </w:pPr>
      <w:r>
        <w:t xml:space="preserve">References</w:t>
      </w:r>
    </w:p>
    <w:bookmarkStart w:id="146" w:name="refs"/>
    <w:bookmarkStart w:id="112" w:name="ref-rtci"/>
    <w:p>
      <w:pPr>
        <w:pStyle w:val="Bibliography"/>
      </w:pPr>
      <w:r>
        <w:t xml:space="preserve">AH Datalytics. 2026.</w:t>
      </w:r>
      <w:r>
        <w:t xml:space="preserve"> </w:t>
      </w:r>
      <w:r>
        <w:t xml:space="preserve">“Crime Index: Nationwide Crime Data and Trends (Formerly the Real-Time Crime Index).”</w:t>
      </w:r>
      <w:r>
        <w:t xml:space="preserve"> </w:t>
      </w:r>
      <w:hyperlink r:id="rId111">
        <w:r>
          <w:rPr>
            <w:rStyle w:val="Hyperlink"/>
          </w:rPr>
          <w:t xml:space="preserve">https://crimeindex.org/download</w:t>
        </w:r>
      </w:hyperlink>
      <w:r>
        <w:t xml:space="preserve">.</w:t>
      </w:r>
    </w:p>
    <w:bookmarkEnd w:id="112"/>
    <w:bookmarkStart w:id="114" w:name="ref-bates2015"/>
    <w:p>
      <w:pPr>
        <w:pStyle w:val="Bibliography"/>
      </w:pPr>
      <w:r>
        <w:t xml:space="preserve">Bates, Douglas, Martin Mächler, Ben Bolker, and Steve Walker. 2015.</w:t>
      </w:r>
      <w:r>
        <w:t xml:space="preserve"> </w:t>
      </w:r>
      <w:r>
        <w:t xml:space="preserve">“Fitting Linear Mixed-Effects Models Using Lme4.”</w:t>
      </w:r>
      <w:r>
        <w:t xml:space="preserve"> </w:t>
      </w:r>
      <w:r>
        <w:rPr>
          <w:iCs/>
          <w:i/>
        </w:rPr>
        <w:t xml:space="preserve">Journal of Statistical Software</w:t>
      </w:r>
      <w:r>
        <w:t xml:space="preserve"> </w:t>
      </w:r>
      <w:r>
        <w:t xml:space="preserve">67 (1): 1–48.</w:t>
      </w:r>
      <w:r>
        <w:t xml:space="preserve"> </w:t>
      </w:r>
      <w:hyperlink r:id="rId113">
        <w:r>
          <w:rPr>
            <w:rStyle w:val="Hyperlink"/>
          </w:rPr>
          <w:t xml:space="preserve">https://doi.org/10.18637/jss.v067.i01</w:t>
        </w:r>
      </w:hyperlink>
      <w:r>
        <w:t xml:space="preserve">.</w:t>
      </w:r>
    </w:p>
    <w:bookmarkEnd w:id="114"/>
    <w:bookmarkStart w:id="116" w:name="ref-benjamini1995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Cs/>
          <w:i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11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16"/>
    <w:bookmarkStart w:id="118" w:name="ref-brooks2017"/>
    <w:p>
      <w:pPr>
        <w:pStyle w:val="Bibliography"/>
      </w:pPr>
      <w:r>
        <w:t xml:space="preserve">Brooks, Mollie E., Kasper Kristensen, Koen J. van Benthem, Arni Magnusson, Casper W. Berg, Anders Nielsen, Hans J. Skaug, Martin Mächler, and Benjamin M. Bolker. 2017.</w:t>
      </w:r>
      <w:r>
        <w:t xml:space="preserve"> </w:t>
      </w:r>
      <w:r>
        <w:t xml:space="preserve">“glmmTMB Balances Speed and Flexibility Among Packages for Zero-Inflated Generalized Linear Mixed Modeling.”</w:t>
      </w:r>
      <w:r>
        <w:t xml:space="preserve"> </w:t>
      </w:r>
      <w:r>
        <w:rPr>
          <w:iCs/>
          <w:i/>
        </w:rPr>
        <w:t xml:space="preserve">The R Journal</w:t>
      </w:r>
      <w:r>
        <w:t xml:space="preserve"> </w:t>
      </w:r>
      <w:r>
        <w:t xml:space="preserve">9 (2): 378–400.</w:t>
      </w:r>
      <w:r>
        <w:t xml:space="preserve"> </w:t>
      </w:r>
      <w:hyperlink r:id="rId117">
        <w:r>
          <w:rPr>
            <w:rStyle w:val="Hyperlink"/>
          </w:rPr>
          <w:t xml:space="preserve">https://doi.org/10.32614/RJ-2017-066</w:t>
        </w:r>
      </w:hyperlink>
      <w:r>
        <w:t xml:space="preserve">.</w:t>
      </w:r>
    </w:p>
    <w:bookmarkEnd w:id="118"/>
    <w:bookmarkStart w:id="120" w:name="ref-drake2023"/>
    <w:p>
      <w:pPr>
        <w:pStyle w:val="Bibliography"/>
      </w:pPr>
      <w:r>
        <w:t xml:space="preserve">Drake, Gregory, Andrew P. Wheeler, Dae-Young Kim, Scott W. Phillips, and Kathryn Mendolera. 2023.</w:t>
      </w:r>
      <w:r>
        <w:t xml:space="preserve"> </w:t>
      </w:r>
      <w:r>
        <w:t xml:space="preserve">“The Impact of</w:t>
      </w:r>
      <w:r>
        <w:t xml:space="preserve"> </w:t>
      </w:r>
      <w:r>
        <w:t xml:space="preserve">COVID-19</w:t>
      </w:r>
      <w:r>
        <w:t xml:space="preserve"> </w:t>
      </w:r>
      <w:r>
        <w:t xml:space="preserve">on the Spatial Distribution of Shooting Violence in Buffalo,</w:t>
      </w:r>
      <w:r>
        <w:t xml:space="preserve"> </w:t>
      </w:r>
      <w:r>
        <w:t xml:space="preserve">NY</w:t>
      </w:r>
      <w:r>
        <w:t xml:space="preserve">.”</w:t>
      </w:r>
      <w:r>
        <w:t xml:space="preserve"> </w:t>
      </w:r>
      <w:r>
        <w:rPr>
          <w:iCs/>
          <w:i/>
        </w:rPr>
        <w:t xml:space="preserve">Journal of Experimental Criminology</w:t>
      </w:r>
      <w:r>
        <w:t xml:space="preserve"> </w:t>
      </w:r>
      <w:r>
        <w:t xml:space="preserve">19 (2): 513–30.</w:t>
      </w:r>
      <w:r>
        <w:t xml:space="preserve"> </w:t>
      </w:r>
      <w:hyperlink r:id="rId119">
        <w:r>
          <w:rPr>
            <w:rStyle w:val="Hyperlink"/>
          </w:rPr>
          <w:t xml:space="preserve">https://doi.org/10.1007/s11292-021-09497-4</w:t>
        </w:r>
      </w:hyperlink>
      <w:r>
        <w:t xml:space="preserve">.</w:t>
      </w:r>
    </w:p>
    <w:bookmarkEnd w:id="120"/>
    <w:bookmarkStart w:id="122" w:name="ref-kristensen2016"/>
    <w:p>
      <w:pPr>
        <w:pStyle w:val="Bibliography"/>
      </w:pPr>
      <w:r>
        <w:t xml:space="preserve">Kristensen, Kasper, Anders Nielsen, Casper W. Berg, Hans Skaug, and Bradley M. Bell. 2016.</w:t>
      </w:r>
      <w:r>
        <w:t xml:space="preserve"> </w:t>
      </w:r>
      <w:r>
        <w:t xml:space="preserve">“</w:t>
      </w:r>
      <w:r>
        <w:t xml:space="preserve">TMB</w:t>
      </w:r>
      <w:r>
        <w:t xml:space="preserve">: Automatic Differentiation and Laplace Approximation.”</w:t>
      </w:r>
      <w:r>
        <w:t xml:space="preserve"> </w:t>
      </w:r>
      <w:r>
        <w:rPr>
          <w:iCs/>
          <w:i/>
        </w:rPr>
        <w:t xml:space="preserve">Journal of Statistical Software</w:t>
      </w:r>
      <w:r>
        <w:t xml:space="preserve"> </w:t>
      </w:r>
      <w:r>
        <w:t xml:space="preserve">70 (5): 1–21.</w:t>
      </w:r>
      <w:r>
        <w:t xml:space="preserve"> </w:t>
      </w:r>
      <w:hyperlink r:id="rId121">
        <w:r>
          <w:rPr>
            <w:rStyle w:val="Hyperlink"/>
          </w:rPr>
          <w:t xml:space="preserve">https://doi.org/10.18637/jss.v070.i05</w:t>
        </w:r>
      </w:hyperlink>
      <w:r>
        <w:t xml:space="preserve">.</w:t>
      </w:r>
    </w:p>
    <w:bookmarkEnd w:id="122"/>
    <w:bookmarkStart w:id="124" w:name="ref-pedersen2019"/>
    <w:p>
      <w:pPr>
        <w:pStyle w:val="Bibliography"/>
      </w:pPr>
      <w:r>
        <w:t xml:space="preserve">Pedersen, Eric J., David L. Miller, Gavin L. Simpson, and Noam Ross. 2019.</w:t>
      </w:r>
      <w:r>
        <w:t xml:space="preserve"> </w:t>
      </w:r>
      <w:r>
        <w:t xml:space="preserve">“Hierarchical Generalized Additive Models in Ecology: An Introduction with Mgcv.”</w:t>
      </w:r>
      <w:r>
        <w:t xml:space="preserve"> </w:t>
      </w:r>
      <w:r>
        <w:rPr>
          <w:iCs/>
          <w:i/>
        </w:rPr>
        <w:t xml:space="preserve">PeerJ</w:t>
      </w:r>
      <w:r>
        <w:t xml:space="preserve"> </w:t>
      </w:r>
      <w:r>
        <w:t xml:space="preserve">7: e6876.</w:t>
      </w:r>
      <w:r>
        <w:t xml:space="preserve"> </w:t>
      </w:r>
      <w:hyperlink r:id="rId123">
        <w:r>
          <w:rPr>
            <w:rStyle w:val="Hyperlink"/>
          </w:rPr>
          <w:t xml:space="preserve">https://doi.org/10.7717/peerj.6876</w:t>
        </w:r>
      </w:hyperlink>
      <w:r>
        <w:t xml:space="preserve">.</w:t>
      </w:r>
    </w:p>
    <w:bookmarkEnd w:id="124"/>
    <w:bookmarkStart w:id="126" w:name="ref-R2026"/>
    <w:p>
      <w:pPr>
        <w:pStyle w:val="Bibliography"/>
      </w:pPr>
      <w:r>
        <w:t xml:space="preserve">R Core Team. 2026.</w:t>
      </w:r>
      <w:r>
        <w:t xml:space="preserve"> </w:t>
      </w:r>
      <w:r>
        <w:rPr>
          <w:iCs/>
          <w:i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125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126"/>
    <w:bookmarkStart w:id="128" w:name="ref-simpson2017"/>
    <w:p>
      <w:pPr>
        <w:pStyle w:val="Bibliography"/>
      </w:pPr>
      <w:r>
        <w:t xml:space="preserve">Simpson, Gavin L. 2017.</w:t>
      </w:r>
      <w:r>
        <w:t xml:space="preserve"> </w:t>
      </w:r>
      <w:r>
        <w:t xml:space="preserve">“Comparing Smooths in Factor-Smooth Interactions i.”</w:t>
      </w:r>
      <w:r>
        <w:t xml:space="preserve"> </w:t>
      </w:r>
      <w:hyperlink r:id="rId127">
        <w:r>
          <w:rPr>
            <w:rStyle w:val="Hyperlink"/>
          </w:rPr>
          <w:t xml:space="preserve">https://fromthebottomoftheheap.net/2017/10/11/difference-splines-i/</w:t>
        </w:r>
      </w:hyperlink>
      <w:r>
        <w:t xml:space="preserve">.</w:t>
      </w:r>
    </w:p>
    <w:bookmarkEnd w:id="128"/>
    <w:bookmarkStart w:id="130" w:name="ref-wheeler2016"/>
    <w:p>
      <w:pPr>
        <w:pStyle w:val="Bibliography"/>
      </w:pPr>
      <w:r>
        <w:t xml:space="preserve">Wheeler, Andrew P. 2016.</w:t>
      </w:r>
      <w:r>
        <w:t xml:space="preserve"> </w:t>
      </w:r>
      <w:r>
        <w:t xml:space="preserve">“Tables and Graphs for Monitoring Temporal Crime Trends: Translating Theory into Practical Crime Analysis Advice.”</w:t>
      </w:r>
      <w:r>
        <w:t xml:space="preserve"> </w:t>
      </w:r>
      <w:r>
        <w:rPr>
          <w:iCs/>
          <w:i/>
        </w:rPr>
        <w:t xml:space="preserve">International Journal of Police Science &amp; Management</w:t>
      </w:r>
      <w:r>
        <w:t xml:space="preserve"> </w:t>
      </w:r>
      <w:r>
        <w:t xml:space="preserve">18 (3): 159–72.</w:t>
      </w:r>
      <w:r>
        <w:t xml:space="preserve"> </w:t>
      </w:r>
      <w:hyperlink r:id="rId129">
        <w:r>
          <w:rPr>
            <w:rStyle w:val="Hyperlink"/>
          </w:rPr>
          <w:t xml:space="preserve">https://doi.org/10.1177/1461355716642781</w:t>
        </w:r>
      </w:hyperlink>
      <w:r>
        <w:t xml:space="preserve">.</w:t>
      </w:r>
    </w:p>
    <w:bookmarkEnd w:id="130"/>
    <w:bookmarkStart w:id="132" w:name="ref-wheeler2018"/>
    <w:p>
      <w:pPr>
        <w:pStyle w:val="Bibliography"/>
      </w:pPr>
      <w:r>
        <w:t xml:space="preserve">Wheeler, Andrew P., and Tomislav V. Kovandzic. 2018.</w:t>
      </w:r>
      <w:r>
        <w:t xml:space="preserve"> </w:t>
      </w:r>
      <w:r>
        <w:t xml:space="preserve">“Monitoring Volatile Homicide Trends Across u.s. Cities.”</w:t>
      </w:r>
      <w:r>
        <w:t xml:space="preserve"> </w:t>
      </w:r>
      <w:r>
        <w:rPr>
          <w:iCs/>
          <w:i/>
        </w:rPr>
        <w:t xml:space="preserve">Homicide Studies</w:t>
      </w:r>
      <w:r>
        <w:t xml:space="preserve"> </w:t>
      </w:r>
      <w:r>
        <w:t xml:space="preserve">22 (2): 119–44.</w:t>
      </w:r>
      <w:r>
        <w:t xml:space="preserve"> </w:t>
      </w:r>
      <w:hyperlink r:id="rId131">
        <w:r>
          <w:rPr>
            <w:rStyle w:val="Hyperlink"/>
          </w:rPr>
          <w:t xml:space="preserve">https://doi.org/10.1177/1088767917740171</w:t>
        </w:r>
      </w:hyperlink>
      <w:r>
        <w:t xml:space="preserve">.</w:t>
      </w:r>
    </w:p>
    <w:bookmarkEnd w:id="132"/>
    <w:bookmarkStart w:id="134" w:name="ref-wheeler2018sppt"/>
    <w:p>
      <w:pPr>
        <w:pStyle w:val="Bibliography"/>
      </w:pPr>
      <w:r>
        <w:t xml:space="preserve">Wheeler, Andrew P., Wouter Steenbeek, and Martin A. Andresen. 2018.</w:t>
      </w:r>
      <w:r>
        <w:t xml:space="preserve"> </w:t>
      </w:r>
      <w:r>
        <w:t xml:space="preserve">“Testing for Similarity in Area-Based Spatial Patterns: Alternative Methods to Andresen’s Spatial Point Pattern Test.”</w:t>
      </w:r>
      <w:r>
        <w:t xml:space="preserve"> </w:t>
      </w:r>
      <w:r>
        <w:rPr>
          <w:iCs/>
          <w:i/>
        </w:rPr>
        <w:t xml:space="preserve">Transactions in GIS</w:t>
      </w:r>
      <w:r>
        <w:t xml:space="preserve"> </w:t>
      </w:r>
      <w:r>
        <w:t xml:space="preserve">22 (3): 760–74.</w:t>
      </w:r>
      <w:r>
        <w:t xml:space="preserve"> </w:t>
      </w:r>
      <w:hyperlink r:id="rId133">
        <w:r>
          <w:rPr>
            <w:rStyle w:val="Hyperlink"/>
          </w:rPr>
          <w:t xml:space="preserve">https://doi.org/10.1111/tgis.12341</w:t>
        </w:r>
      </w:hyperlink>
      <w:r>
        <w:t xml:space="preserve">.</w:t>
      </w:r>
    </w:p>
    <w:bookmarkEnd w:id="134"/>
    <w:bookmarkStart w:id="136" w:name="ref-wickham2016"/>
    <w:p>
      <w:pPr>
        <w:pStyle w:val="Bibliography"/>
      </w:pPr>
      <w:r>
        <w:t xml:space="preserve">Wickham, Hadley. 2016.</w:t>
      </w:r>
      <w:r>
        <w:t xml:space="preserve"> </w:t>
      </w:r>
      <w:r>
        <w:rPr>
          <w:iCs/>
          <w:i/>
        </w:rPr>
        <w:t xml:space="preserve">Ggplot2: Elegant Graphics for Data Analysis</w:t>
      </w:r>
      <w:r>
        <w:t xml:space="preserve">. Springer-Verlag New York.</w:t>
      </w:r>
      <w:r>
        <w:t xml:space="preserve"> </w:t>
      </w:r>
      <w:hyperlink r:id="rId135">
        <w:r>
          <w:rPr>
            <w:rStyle w:val="Hyperlink"/>
          </w:rPr>
          <w:t xml:space="preserve">https://doi.org/10.1007/978-3-319-24277-4</w:t>
        </w:r>
      </w:hyperlink>
      <w:r>
        <w:t xml:space="preserve">.</w:t>
      </w:r>
    </w:p>
    <w:bookmarkEnd w:id="136"/>
    <w:bookmarkStart w:id="138" w:name="ref-tidyverse2019"/>
    <w:p>
      <w:pPr>
        <w:pStyle w:val="Bibliography"/>
      </w:pPr>
      <w:r>
        <w:t xml:space="preserve">Wickham, Hadley, Mara Averick, Jennifer Bryan, Winston Chang, Lucy D’Agostino McGowan, Romain François, Garrett Grolemund, et al. 2019.</w:t>
      </w:r>
      <w:r>
        <w:t xml:space="preserve"> </w:t>
      </w:r>
      <w:r>
        <w:t xml:space="preserve">“Welcome to the Tidyverse.”</w:t>
      </w:r>
      <w:r>
        <w:t xml:space="preserve"> </w:t>
      </w:r>
      <w:r>
        <w:rPr>
          <w:iCs/>
          <w:i/>
        </w:rPr>
        <w:t xml:space="preserve">Journal of Open Source Software</w:t>
      </w:r>
      <w:r>
        <w:t xml:space="preserve"> </w:t>
      </w:r>
      <w:r>
        <w:t xml:space="preserve">4 (43): 1686.</w:t>
      </w:r>
      <w:r>
        <w:t xml:space="preserve"> </w:t>
      </w:r>
      <w:hyperlink r:id="rId137">
        <w:r>
          <w:rPr>
            <w:rStyle w:val="Hyperlink"/>
          </w:rPr>
          <w:t xml:space="preserve">https://doi.org/10.21105/joss.01686</w:t>
        </w:r>
      </w:hyperlink>
      <w:r>
        <w:t xml:space="preserve">.</w:t>
      </w:r>
    </w:p>
    <w:bookmarkEnd w:id="138"/>
    <w:bookmarkStart w:id="140" w:name="ref-wood2011"/>
    <w:p>
      <w:pPr>
        <w:pStyle w:val="Bibliography"/>
      </w:pPr>
      <w:r>
        <w:t xml:space="preserve">Wood, Simon N. 2011.</w:t>
      </w:r>
      <w:r>
        <w:t xml:space="preserve"> </w:t>
      </w:r>
      <w:r>
        <w:t xml:space="preserve">“Fast Stable Restricted Maximum Likelihood and Marginal Likelihood Estimation of Semiparametric Generalized Linear Models.”</w:t>
      </w:r>
      <w:r>
        <w:t xml:space="preserve"> </w:t>
      </w:r>
      <w:r>
        <w:rPr>
          <w:iCs/>
          <w:i/>
        </w:rPr>
        <w:t xml:space="preserve">Journal of the Royal Statistical Society: Series B</w:t>
      </w:r>
      <w:r>
        <w:t xml:space="preserve"> </w:t>
      </w:r>
      <w:r>
        <w:t xml:space="preserve">73 (1): 3–36.</w:t>
      </w:r>
      <w:r>
        <w:t xml:space="preserve"> </w:t>
      </w:r>
      <w:hyperlink r:id="rId139">
        <w:r>
          <w:rPr>
            <w:rStyle w:val="Hyperlink"/>
          </w:rPr>
          <w:t xml:space="preserve">https://doi.org/10.1111/j.1467-9868.2010.00749.x</w:t>
        </w:r>
      </w:hyperlink>
      <w:r>
        <w:t xml:space="preserve">.</w:t>
      </w:r>
    </w:p>
    <w:bookmarkEnd w:id="140"/>
    <w:bookmarkStart w:id="141" w:name="ref-wood2017"/>
    <w:p>
      <w:pPr>
        <w:pStyle w:val="Bibliography"/>
      </w:pPr>
      <w:r>
        <w:t xml:space="preserve">———. 2017.</w:t>
      </w:r>
      <w:r>
        <w:t xml:space="preserve"> </w:t>
      </w:r>
      <w:r>
        <w:rPr>
          <w:iCs/>
          <w:i/>
        </w:rPr>
        <w:t xml:space="preserve">Generalized Additive Models: An Introduction with r</w:t>
      </w:r>
      <w:r>
        <w:t xml:space="preserve">. 2nd ed. Chapman; Hall/CRC.</w:t>
      </w:r>
    </w:p>
    <w:bookmarkEnd w:id="141"/>
    <w:bookmarkStart w:id="143" w:name="ref-gamm4"/>
    <w:p>
      <w:pPr>
        <w:pStyle w:val="Bibliography"/>
      </w:pPr>
      <w:r>
        <w:t xml:space="preserve">Wood, Simon, and Fabian Scheipl. 2025.</w:t>
      </w:r>
      <w:r>
        <w:t xml:space="preserve"> </w:t>
      </w:r>
      <w:r>
        <w:rPr>
          <w:iCs/>
          <w:i/>
        </w:rPr>
        <w:t xml:space="preserve">Gamm4: Generalized Additive Mixed Models Using Mgcv and Lme4</w:t>
      </w:r>
      <w:r>
        <w:t xml:space="preserve">.</w:t>
      </w:r>
      <w:r>
        <w:t xml:space="preserve"> </w:t>
      </w:r>
      <w:hyperlink r:id="rId142">
        <w:r>
          <w:rPr>
            <w:rStyle w:val="Hyperlink"/>
          </w:rPr>
          <w:t xml:space="preserve">https://doi.org/10.32614/CRAN.package.gamm4</w:t>
        </w:r>
      </w:hyperlink>
      <w:r>
        <w:t xml:space="preserve">.</w:t>
      </w:r>
    </w:p>
    <w:bookmarkEnd w:id="143"/>
    <w:bookmarkStart w:id="145" w:name="ref-yim2020"/>
    <w:p>
      <w:pPr>
        <w:pStyle w:val="Bibliography"/>
      </w:pPr>
      <w:r>
        <w:t xml:space="preserve">Yim, Ha-Neul, Jordan R. Riddell, and Andrew P. Wheeler. 2020.</w:t>
      </w:r>
      <w:r>
        <w:t xml:space="preserve"> </w:t>
      </w:r>
      <w:r>
        <w:t xml:space="preserve">“Is the Recent Increase in National Homicide Abnormal? Testing the Application of Fan Charts in Monitoring National Homicide Trends over Time.”</w:t>
      </w:r>
      <w:r>
        <w:t xml:space="preserve"> </w:t>
      </w:r>
      <w:r>
        <w:rPr>
          <w:iCs/>
          <w:i/>
        </w:rPr>
        <w:t xml:space="preserve">Journal of Criminal Justice</w:t>
      </w:r>
      <w:r>
        <w:t xml:space="preserve"> </w:t>
      </w:r>
      <w:r>
        <w:t xml:space="preserve">66: 101656.</w:t>
      </w:r>
      <w:r>
        <w:t xml:space="preserve"> </w:t>
      </w:r>
      <w:hyperlink r:id="rId144">
        <w:r>
          <w:rPr>
            <w:rStyle w:val="Hyperlink"/>
          </w:rPr>
          <w:t xml:space="preserve">https://doi.org/10.1016/j.jcrimjus.2019.101656</w:t>
        </w:r>
      </w:hyperlink>
      <w:r>
        <w:t xml:space="preserve">.</w:t>
      </w:r>
    </w:p>
    <w:bookmarkEnd w:id="145"/>
    <w:bookmarkEnd w:id="146"/>
    <w:bookmarkEnd w:id="1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  <w:b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  <w:b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00" Target="media/rId100.gif" /><Relationship Type="http://schemas.openxmlformats.org/officeDocument/2006/relationships/image" Id="rId103" Target="media/rId103.gif" /><Relationship Type="http://schemas.openxmlformats.org/officeDocument/2006/relationships/image" Id="rId97" Target="media/rId97.gif" /><Relationship Type="http://schemas.openxmlformats.org/officeDocument/2006/relationships/image" Id="rId42" Target="media/rId42.png" /><Relationship Type="http://schemas.openxmlformats.org/officeDocument/2006/relationships/image" Id="rId34" Target="media/rId34.png" /><Relationship Type="http://schemas.openxmlformats.org/officeDocument/2006/relationships/image" Id="rId29" Target="media/rId29.png" /><Relationship Type="http://schemas.openxmlformats.org/officeDocument/2006/relationships/image" Id="rId24" Target="media/rId24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51" Target="media/rId51.png" /><Relationship Type="http://schemas.openxmlformats.org/officeDocument/2006/relationships/image" Id="rId47" Target="media/rId47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39" Target="media/rId39.png" /><Relationship Type="http://schemas.openxmlformats.org/officeDocument/2006/relationships/hyperlink" Id="rId95" Target="https://apwheele.github.io/CrimeDecomp/app/" TargetMode="External" /><Relationship Type="http://schemas.openxmlformats.org/officeDocument/2006/relationships/hyperlink" Id="rId96" Target="https://crimede-coder.com/blogposts/2026/CrimeTrends" TargetMode="External" /><Relationship Type="http://schemas.openxmlformats.org/officeDocument/2006/relationships/hyperlink" Id="rId111" Target="https://crimeindex.org/download" TargetMode="External" /><Relationship Type="http://schemas.openxmlformats.org/officeDocument/2006/relationships/hyperlink" Id="rId135" Target="https://doi.org/10.1007/978-3-319-24277-4" TargetMode="External" /><Relationship Type="http://schemas.openxmlformats.org/officeDocument/2006/relationships/hyperlink" Id="rId119" Target="https://doi.org/10.1007/s11292-021-09497-4" TargetMode="External" /><Relationship Type="http://schemas.openxmlformats.org/officeDocument/2006/relationships/hyperlink" Id="rId144" Target="https://doi.org/10.1016/j.jcrimjus.2019.101656" TargetMode="External" /><Relationship Type="http://schemas.openxmlformats.org/officeDocument/2006/relationships/hyperlink" Id="rId139" Target="https://doi.org/10.1111/j.1467-9868.2010.00749.x" TargetMode="External" /><Relationship Type="http://schemas.openxmlformats.org/officeDocument/2006/relationships/hyperlink" Id="rId115" Target="https://doi.org/10.1111/j.2517-6161.1995.tb02031.x" TargetMode="External" /><Relationship Type="http://schemas.openxmlformats.org/officeDocument/2006/relationships/hyperlink" Id="rId133" Target="https://doi.org/10.1111/tgis.12341" TargetMode="External" /><Relationship Type="http://schemas.openxmlformats.org/officeDocument/2006/relationships/hyperlink" Id="rId131" Target="https://doi.org/10.1177/1088767917740171" TargetMode="External" /><Relationship Type="http://schemas.openxmlformats.org/officeDocument/2006/relationships/hyperlink" Id="rId129" Target="https://doi.org/10.1177/1461355716642781" TargetMode="External" /><Relationship Type="http://schemas.openxmlformats.org/officeDocument/2006/relationships/hyperlink" Id="rId113" Target="https://doi.org/10.18637/jss.v067.i01" TargetMode="External" /><Relationship Type="http://schemas.openxmlformats.org/officeDocument/2006/relationships/hyperlink" Id="rId121" Target="https://doi.org/10.18637/jss.v070.i05" TargetMode="External" /><Relationship Type="http://schemas.openxmlformats.org/officeDocument/2006/relationships/hyperlink" Id="rId137" Target="https://doi.org/10.21105/joss.01686" TargetMode="External" /><Relationship Type="http://schemas.openxmlformats.org/officeDocument/2006/relationships/hyperlink" Id="rId142" Target="https://doi.org/10.32614/CRAN.package.gamm4" TargetMode="External" /><Relationship Type="http://schemas.openxmlformats.org/officeDocument/2006/relationships/hyperlink" Id="rId117" Target="https://doi.org/10.32614/RJ-2017-066" TargetMode="External" /><Relationship Type="http://schemas.openxmlformats.org/officeDocument/2006/relationships/hyperlink" Id="rId123" Target="https://doi.org/10.7717/peerj.6876" TargetMode="External" /><Relationship Type="http://schemas.openxmlformats.org/officeDocument/2006/relationships/hyperlink" Id="rId127" Target="https://fromthebottomoftheheap.net/2017/10/11/difference-splines-i/" TargetMode="External" /><Relationship Type="http://schemas.openxmlformats.org/officeDocument/2006/relationships/hyperlink" Id="rId106" Target="https://github.com/apwheele/CrimeDecomp" TargetMode="External" /><Relationship Type="http://schemas.openxmlformats.org/officeDocument/2006/relationships/hyperlink" Id="rId107" Target="https://github.com/apwheele/CrimeDecomp/blob/main/paper.md" TargetMode="External" /><Relationship Type="http://schemas.openxmlformats.org/officeDocument/2006/relationships/hyperlink" Id="rId125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https://apwheele.github.io/CrimeDecomp/app/" TargetMode="External" /><Relationship Type="http://schemas.openxmlformats.org/officeDocument/2006/relationships/hyperlink" Id="rId96" Target="https://crimede-coder.com/blogposts/2026/CrimeTrends" TargetMode="External" /><Relationship Type="http://schemas.openxmlformats.org/officeDocument/2006/relationships/hyperlink" Id="rId111" Target="https://crimeindex.org/download" TargetMode="External" /><Relationship Type="http://schemas.openxmlformats.org/officeDocument/2006/relationships/hyperlink" Id="rId135" Target="https://doi.org/10.1007/978-3-319-24277-4" TargetMode="External" /><Relationship Type="http://schemas.openxmlformats.org/officeDocument/2006/relationships/hyperlink" Id="rId119" Target="https://doi.org/10.1007/s11292-021-09497-4" TargetMode="External" /><Relationship Type="http://schemas.openxmlformats.org/officeDocument/2006/relationships/hyperlink" Id="rId144" Target="https://doi.org/10.1016/j.jcrimjus.2019.101656" TargetMode="External" /><Relationship Type="http://schemas.openxmlformats.org/officeDocument/2006/relationships/hyperlink" Id="rId139" Target="https://doi.org/10.1111/j.1467-9868.2010.00749.x" TargetMode="External" /><Relationship Type="http://schemas.openxmlformats.org/officeDocument/2006/relationships/hyperlink" Id="rId115" Target="https://doi.org/10.1111/j.2517-6161.1995.tb02031.x" TargetMode="External" /><Relationship Type="http://schemas.openxmlformats.org/officeDocument/2006/relationships/hyperlink" Id="rId133" Target="https://doi.org/10.1111/tgis.12341" TargetMode="External" /><Relationship Type="http://schemas.openxmlformats.org/officeDocument/2006/relationships/hyperlink" Id="rId131" Target="https://doi.org/10.1177/1088767917740171" TargetMode="External" /><Relationship Type="http://schemas.openxmlformats.org/officeDocument/2006/relationships/hyperlink" Id="rId129" Target="https://doi.org/10.1177/1461355716642781" TargetMode="External" /><Relationship Type="http://schemas.openxmlformats.org/officeDocument/2006/relationships/hyperlink" Id="rId113" Target="https://doi.org/10.18637/jss.v067.i01" TargetMode="External" /><Relationship Type="http://schemas.openxmlformats.org/officeDocument/2006/relationships/hyperlink" Id="rId121" Target="https://doi.org/10.18637/jss.v070.i05" TargetMode="External" /><Relationship Type="http://schemas.openxmlformats.org/officeDocument/2006/relationships/hyperlink" Id="rId137" Target="https://doi.org/10.21105/joss.01686" TargetMode="External" /><Relationship Type="http://schemas.openxmlformats.org/officeDocument/2006/relationships/hyperlink" Id="rId142" Target="https://doi.org/10.32614/CRAN.package.gamm4" TargetMode="External" /><Relationship Type="http://schemas.openxmlformats.org/officeDocument/2006/relationships/hyperlink" Id="rId117" Target="https://doi.org/10.32614/RJ-2017-066" TargetMode="External" /><Relationship Type="http://schemas.openxmlformats.org/officeDocument/2006/relationships/hyperlink" Id="rId123" Target="https://doi.org/10.7717/peerj.6876" TargetMode="External" /><Relationship Type="http://schemas.openxmlformats.org/officeDocument/2006/relationships/hyperlink" Id="rId127" Target="https://fromthebottomoftheheap.net/2017/10/11/difference-splines-i/" TargetMode="External" /><Relationship Type="http://schemas.openxmlformats.org/officeDocument/2006/relationships/hyperlink" Id="rId106" Target="https://github.com/apwheele/CrimeDecomp" TargetMode="External" /><Relationship Type="http://schemas.openxmlformats.org/officeDocument/2006/relationships/hyperlink" Id="rId107" Target="https://github.com/apwheele/CrimeDecomp/blob/main/paper.md" TargetMode="External" /><Relationship Type="http://schemas.openxmlformats.org/officeDocument/2006/relationships/hyperlink" Id="rId125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crime trends: global patterns and city departures</dc:title>
  <dc:creator>Andrew P. Wheeler</dc:creator>
  <cp:keywords/>
  <dcterms:created xsi:type="dcterms:W3CDTF">2026-10-16T14:38:35Z</dcterms:created>
  <dcterms:modified xsi:type="dcterms:W3CDTF">2026-10-16T14:38:35Z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Crime trends are commonly summarized by national aggregates or short-term percentage changes, both of which can obscure sustained local departures and overstate ordinary variation. This paper decomposes monthly reported crime from the Real-Time Crime Index into a global nonlinear trend, recurring annual seasonality, calendar-month shocks shared across cities, city-specific trend and seasonal departures, and city-month residual variation. Explore the results at https://apwheele.github.io/CrimeDecomp/app/ and reproduce the analysis at https://github.com/apwheele/CrimeDecomp.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uthor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nk-citations">
    <vt:lpwstr>True</vt:lpwstr>
  </property>
  <property fmtid="{D5CDD505-2E9C-101B-9397-08002B2CF9AE}" pid="13" name="toc-title">
    <vt:lpwstr>Table of contents</vt:lpwstr>
  </property>
</Properties>
</file>