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0.png" ContentType="image/png"/>
  <Override PartName="/word/media/rId24.png" ContentType="image/png"/>
  <Override PartName="/word/media/rId2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ROC and Calibration Plots — All Property Crime Models</w:t>
      </w:r>
    </w:p>
    <w:p>
      <w:pPr>
        <w:pStyle w:val="Author"/>
      </w:pPr>
      <w:r>
        <w:t xml:space="preserve">Marc Olson</w:t>
      </w:r>
    </w:p>
    <w:p>
      <w:pPr>
        <w:pStyle w:val="Date"/>
      </w:pPr>
      <w:r>
        <w:t xml:space="preserve">2026-03-05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This document reports results for individual-level property crime prediction models evaluated on a held-out period. The original pre-registration specified individual-level</w:t>
      </w:r>
      <w:r>
        <w:t xml:space="preserve"> </w:t>
      </w:r>
      <w:r>
        <w:t xml:space="preserve">violent crime prediction, identifying high-risk persons for future involvement in gun</w:t>
      </w:r>
      <w:r>
        <w:t xml:space="preserve"> </w:t>
      </w:r>
      <w:r>
        <w:t xml:space="preserve">violence, robbery, aggravated assault, and related offenses, to support a planned</w:t>
      </w:r>
      <w:r>
        <w:t xml:space="preserve"> </w:t>
      </w:r>
      <w:r>
        <w:t xml:space="preserve">randomized home-visit intervention conducted in partnership with Denver Police Department.</w:t>
      </w:r>
    </w:p>
    <w:p>
      <w:pPr>
        <w:pStyle w:val="BodyText"/>
      </w:pPr>
      <w:r>
        <w:t xml:space="preserve">The present analysis reflects the same analytical framework specified by the preregistration, but shifts its focus to property crime outcomes. This shift reflects a change in Denver PD’s operational priorities.</w:t>
      </w:r>
    </w:p>
    <w:bookmarkStart w:id="23" w:name="roc-curves"/>
    <w:p>
      <w:pPr>
        <w:pStyle w:val="Heading2"/>
      </w:pPr>
      <w:r>
        <w:t xml:space="preserve">ROC Curves</w:t>
      </w:r>
    </w:p>
    <w:p>
      <w:pPr>
        <w:pStyle w:val="FirstParagraph"/>
      </w:pPr>
      <w:r>
        <w:drawing>
          <wp:inline>
            <wp:extent cx="6489700" cy="3317373"/>
            <wp:effectExtent b="0" l="0" r="0" t="0"/>
            <wp:docPr descr="" title="" id="21" name="Picture"/>
            <a:graphic>
              <a:graphicData uri="http://schemas.openxmlformats.org/drawingml/2006/picture">
                <pic:pic>
                  <pic:nvPicPr>
                    <pic:cNvPr descr="fit_discussion_files/figure-docx/cell-4-output-1.png" id="22" name="Picture"/>
                    <pic:cNvPicPr>
                      <a:picLocks noChangeArrowheads="1" noChangeAspect="1"/>
                    </pic:cNvPicPr>
                  </pic:nvPicPr>
                  <pic:blipFill>
                    <a:blip r:embed="rId20"/>
                    <a:stretch>
                      <a:fillRect/>
                    </a:stretch>
                  </pic:blipFill>
                  <pic:spPr bwMode="auto">
                    <a:xfrm>
                      <a:off x="0" y="0"/>
                      <a:ext cx="6489700" cy="3317373"/>
                    </a:xfrm>
                    <a:prstGeom prst="rect">
                      <a:avLst/>
                    </a:prstGeom>
                    <a:noFill/>
                    <a:ln w="9525">
                      <a:noFill/>
                      <a:headEnd/>
                      <a:tailEnd/>
                    </a:ln>
                  </pic:spPr>
                </pic:pic>
              </a:graphicData>
            </a:graphic>
          </wp:inline>
        </w:drawing>
      </w:r>
    </w:p>
    <w:bookmarkEnd w:id="23"/>
    <w:bookmarkStart w:id="30" w:name="calibration-plots"/>
    <w:p>
      <w:pPr>
        <w:pStyle w:val="Heading2"/>
      </w:pPr>
      <w:r>
        <w:t xml:space="preserve">Calibration Plots</w:t>
      </w:r>
    </w:p>
    <w:p>
      <w:pPr>
        <w:pStyle w:val="FirstParagraph"/>
      </w:pPr>
      <w:r>
        <w:drawing>
          <wp:inline>
            <wp:extent cx="6489700" cy="5376244"/>
            <wp:effectExtent b="0" l="0" r="0" t="0"/>
            <wp:docPr descr="" title="" id="25" name="Picture"/>
            <a:graphic>
              <a:graphicData uri="http://schemas.openxmlformats.org/drawingml/2006/picture">
                <pic:pic>
                  <pic:nvPicPr>
                    <pic:cNvPr descr="fit_discussion_files/figure-docx/cell-5-output-1.png" id="26" name="Picture"/>
                    <pic:cNvPicPr>
                      <a:picLocks noChangeArrowheads="1" noChangeAspect="1"/>
                    </pic:cNvPicPr>
                  </pic:nvPicPr>
                  <pic:blipFill>
                    <a:blip r:embed="rId24"/>
                    <a:stretch>
                      <a:fillRect/>
                    </a:stretch>
                  </pic:blipFill>
                  <pic:spPr bwMode="auto">
                    <a:xfrm>
                      <a:off x="0" y="0"/>
                      <a:ext cx="6489700" cy="5376244"/>
                    </a:xfrm>
                    <a:prstGeom prst="rect">
                      <a:avLst/>
                    </a:prstGeom>
                    <a:noFill/>
                    <a:ln w="9525">
                      <a:noFill/>
                      <a:headEnd/>
                      <a:tailEnd/>
                    </a:ln>
                  </pic:spPr>
                </pic:pic>
              </a:graphicData>
            </a:graphic>
          </wp:inline>
        </w:drawing>
      </w:r>
    </w:p>
    <w:p>
      <w:pPr>
        <w:pStyle w:val="BodyText"/>
      </w:pPr>
      <w:r>
        <w:drawing>
          <wp:inline>
            <wp:extent cx="6489700" cy="5376244"/>
            <wp:effectExtent b="0" l="0" r="0" t="0"/>
            <wp:docPr descr="" title="" id="28" name="Picture"/>
            <a:graphic>
              <a:graphicData uri="http://schemas.openxmlformats.org/drawingml/2006/picture">
                <pic:pic>
                  <pic:nvPicPr>
                    <pic:cNvPr descr="fit_discussion_files/figure-docx/cell-6-output-1.png" id="29" name="Picture"/>
                    <pic:cNvPicPr>
                      <a:picLocks noChangeArrowheads="1" noChangeAspect="1"/>
                    </pic:cNvPicPr>
                  </pic:nvPicPr>
                  <pic:blipFill>
                    <a:blip r:embed="rId27"/>
                    <a:stretch>
                      <a:fillRect/>
                    </a:stretch>
                  </pic:blipFill>
                  <pic:spPr bwMode="auto">
                    <a:xfrm>
                      <a:off x="0" y="0"/>
                      <a:ext cx="6489700" cy="5376244"/>
                    </a:xfrm>
                    <a:prstGeom prst="rect">
                      <a:avLst/>
                    </a:prstGeom>
                    <a:noFill/>
                    <a:ln w="9525">
                      <a:noFill/>
                      <a:headEnd/>
                      <a:tailEnd/>
                    </a:ln>
                  </pic:spPr>
                </pic:pic>
              </a:graphicData>
            </a:graphic>
          </wp:inline>
        </w:drawing>
      </w:r>
    </w:p>
    <w:bookmarkEnd w:id="30"/>
    <w:bookmarkStart w:id="36" w:name="model-accuracy"/>
    <w:p>
      <w:pPr>
        <w:pStyle w:val="Heading2"/>
      </w:pPr>
      <w:r>
        <w:t xml:space="preserve">Model Accuracy</w:t>
      </w:r>
    </w:p>
    <w:p>
      <w:pPr>
        <w:pStyle w:val="FirstParagraph"/>
      </w:pPr>
      <w:r>
        <w:t xml:space="preserve">Four gradient-boosted regression models (LightGBM and CatBoost) were evaluated on a</w:t>
      </w:r>
      <w:r>
        <w:t xml:space="preserve"> </w:t>
      </w:r>
      <w:r>
        <w:t xml:space="preserve">held-out period to predict victim-weighted aggregate property crime, theft, motor vehicle theft, and burglary counts. Performance is assessed via three diagnostics: (1) standard AUC on the binary outcome, (2) weighted AUC matching which tests the models’ ability to identify repeat offenders, and (3) probability calibration across decile bins.</w:t>
      </w:r>
    </w:p>
    <w:bookmarkStart w:id="31" w:name="property-crime"/>
    <w:p>
      <w:pPr>
        <w:pStyle w:val="Heading3"/>
      </w:pPr>
      <w:r>
        <w:t xml:space="preserve">Property Crime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ML Model</w:t>
            </w:r>
          </w:p>
        </w:tc>
        <w:tc>
          <w:tcPr/>
          <w:p>
            <w:pPr>
              <w:pStyle w:val="Compact"/>
              <w:jc w:val="right"/>
            </w:pPr>
            <w:r>
              <w:t xml:space="preserve">OLS</w:t>
            </w:r>
          </w:p>
        </w:tc>
      </w:tr>
      <w:tr>
        <w:tc>
          <w:tcPr/>
          <w:p>
            <w:pPr>
              <w:pStyle w:val="Compact"/>
              <w:jc w:val="left"/>
            </w:pPr>
            <w:r>
              <w:t xml:space="preserve">Holdout N</w:t>
            </w:r>
          </w:p>
        </w:tc>
        <w:tc>
          <w:tcPr/>
          <w:p>
            <w:pPr>
              <w:pStyle w:val="Compact"/>
              <w:jc w:val="right"/>
            </w:pPr>
            <w:r>
              <w:t xml:space="preserve">493,921</w:t>
            </w:r>
          </w:p>
        </w:tc>
        <w:tc>
          <w:tcPr/>
          <w:p>
            <w:pPr>
              <w:pStyle w:val="Compact"/>
              <w:jc w:val="right"/>
            </w:pPr>
            <w:r>
              <w:t xml:space="preserve">493,921</w:t>
            </w:r>
          </w:p>
        </w:tc>
      </w:tr>
      <w:tr>
        <w:tc>
          <w:tcPr/>
          <w:p>
            <w:pPr>
              <w:pStyle w:val="Compact"/>
              <w:jc w:val="left"/>
            </w:pPr>
            <w:r>
              <w:t xml:space="preserve">Base rate</w:t>
            </w:r>
          </w:p>
        </w:tc>
        <w:tc>
          <w:tcPr/>
          <w:p>
            <w:pPr>
              <w:pStyle w:val="Compact"/>
              <w:jc w:val="right"/>
            </w:pPr>
            <w:r>
              <w:t xml:space="preserve">2.81% positive</w:t>
            </w:r>
          </w:p>
        </w:tc>
        <w:tc>
          <w:tcPr/>
          <w:p>
            <w:pPr>
              <w:pStyle w:val="Compact"/>
              <w:jc w:val="right"/>
            </w:pPr>
            <w:r>
              <w:t xml:space="preserve">2.81% positive</w:t>
            </w:r>
          </w:p>
        </w:tc>
      </w:tr>
      <w:tr>
        <w:tc>
          <w:tcPr/>
          <w:p>
            <w:pPr>
              <w:pStyle w:val="Compact"/>
              <w:jc w:val="left"/>
            </w:pPr>
            <w:r>
              <w:t xml:space="preserve">Standard AUC</w:t>
            </w:r>
          </w:p>
        </w:tc>
        <w:tc>
          <w:tcPr/>
          <w:p>
            <w:pPr>
              <w:pStyle w:val="Compact"/>
              <w:jc w:val="right"/>
            </w:pPr>
            <w:r>
              <w:t xml:space="preserve">0.716</w:t>
            </w:r>
          </w:p>
        </w:tc>
        <w:tc>
          <w:tcPr/>
          <w:p>
            <w:pPr>
              <w:pStyle w:val="Compact"/>
              <w:jc w:val="right"/>
            </w:pPr>
            <w:r>
              <w:t xml:space="preserve">0.696</w:t>
            </w:r>
          </w:p>
        </w:tc>
      </w:tr>
      <w:tr>
        <w:tc>
          <w:tcPr/>
          <w:p>
            <w:pPr>
              <w:pStyle w:val="Compact"/>
              <w:jc w:val="left"/>
            </w:pPr>
            <w:r>
              <w:t xml:space="preserve">Weighted AUC (tuning criterion)</w:t>
            </w:r>
          </w:p>
        </w:tc>
        <w:tc>
          <w:tcPr/>
          <w:p>
            <w:pPr>
              <w:pStyle w:val="Compact"/>
              <w:jc w:val="right"/>
            </w:pPr>
            <w:r>
              <w:t xml:space="preserve">0.759</w:t>
            </w:r>
          </w:p>
        </w:tc>
        <w:tc>
          <w:tcPr/>
          <w:p>
            <w:pPr>
              <w:pStyle w:val="Compact"/>
              <w:jc w:val="right"/>
            </w:pPr>
            <w:r>
              <w:t xml:space="preserve">0.743</w:t>
            </w:r>
          </w:p>
        </w:tc>
      </w:tr>
      <w:tr>
        <w:tc>
          <w:tcPr/>
          <w:p>
            <w:pPr>
              <w:pStyle w:val="Compact"/>
              <w:jc w:val="left"/>
            </w:pPr>
            <w:r>
              <w:t xml:space="preserve">Top-1,000 capture (victim-weighted)</w:t>
            </w:r>
          </w:p>
        </w:tc>
        <w:tc>
          <w:tcPr/>
          <w:p>
            <w:pPr>
              <w:pStyle w:val="Compact"/>
              <w:jc w:val="right"/>
            </w:pPr>
            <w:r>
              <w:t xml:space="preserve">2,232 events</w:t>
            </w:r>
          </w:p>
        </w:tc>
        <w:tc>
          <w:tcPr/>
          <w:p>
            <w:pPr>
              <w:pStyle w:val="Compact"/>
              <w:jc w:val="right"/>
            </w:pPr>
            <w:r>
              <w:t xml:space="preserve">2,149 events</w:t>
            </w:r>
          </w:p>
        </w:tc>
      </w:tr>
      <w:tr>
        <w:tc>
          <w:tcPr/>
          <w:p>
            <w:pPr>
              <w:pStyle w:val="Compact"/>
              <w:jc w:val="left"/>
            </w:pPr>
            <w:r>
              <w:t xml:space="preserve">Top-1,000 capture (unweighted cells)</w:t>
            </w:r>
          </w:p>
        </w:tc>
        <w:tc>
          <w:tcPr/>
          <w:p>
            <w:pPr>
              <w:pStyle w:val="Compact"/>
              <w:jc w:val="right"/>
            </w:pPr>
            <w:r>
              <w:t xml:space="preserve">433 with ≥1 event</w:t>
            </w:r>
          </w:p>
        </w:tc>
        <w:tc>
          <w:tcPr/>
          <w:p>
            <w:pPr>
              <w:pStyle w:val="Compact"/>
              <w:jc w:val="right"/>
            </w:pPr>
            <w:r>
              <w:t xml:space="preserve">389 with ≥1 event</w:t>
            </w:r>
          </w:p>
        </w:tc>
      </w:tr>
      <w:tr>
        <w:tc>
          <w:tcPr/>
          <w:p>
            <w:pPr>
              <w:pStyle w:val="Compact"/>
              <w:jc w:val="left"/>
            </w:pPr>
            <w:r>
              <w:t xml:space="preserve">Expected under random (unweighted)</w:t>
            </w:r>
          </w:p>
        </w:tc>
        <w:tc>
          <w:tcPr/>
          <w:p>
            <w:pPr>
              <w:pStyle w:val="Compact"/>
              <w:jc w:val="right"/>
            </w:pPr>
            <w:r>
              <w:t xml:space="preserve">~28</w:t>
            </w:r>
          </w:p>
        </w:tc>
        <w:tc>
          <w:tcPr/>
          <w:p>
            <w:pPr>
              <w:pStyle w:val="Compact"/>
              <w:jc w:val="right"/>
            </w:pPr>
            <w:r>
              <w:t xml:space="preserve">~28</w:t>
            </w:r>
          </w:p>
        </w:tc>
      </w:tr>
    </w:tbl>
    <w:p>
      <w:pPr>
        <w:pStyle w:val="BodyText"/>
      </w:pPr>
      <w:r>
        <w:t xml:space="preserve">The aggregate property crime model achieves a standard AUC of 0.716 and</w:t>
      </w:r>
      <w:r>
        <w:t xml:space="preserve"> </w:t>
      </w:r>
      <w:r>
        <w:t xml:space="preserve">a weighted AUC of 0.759, indicating that the model can distinguish</w:t>
      </w:r>
      <w:r>
        <w:t xml:space="preserve"> </w:t>
      </w:r>
      <w:r>
        <w:t xml:space="preserve">frequent offenders better than chance and better than the field accepted rate level of 0.7. The model successfully identfies 433 of the top 1000 individuals, far more than the 28 expected under random allocation, and resulting in coverage of 2,232 property crime events. Because it aggregates all subtypes, this model provides the broadest spatial signal and as models progress into less frequent property crime subtypes, models’ predictive capabilities</w:t>
      </w:r>
    </w:p>
    <w:bookmarkEnd w:id="31"/>
    <w:bookmarkStart w:id="32" w:name="theft"/>
    <w:p>
      <w:pPr>
        <w:pStyle w:val="Heading3"/>
      </w:pPr>
      <w:r>
        <w:t xml:space="preserve">Theft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ML Model</w:t>
            </w:r>
          </w:p>
        </w:tc>
        <w:tc>
          <w:tcPr/>
          <w:p>
            <w:pPr>
              <w:pStyle w:val="Compact"/>
              <w:jc w:val="right"/>
            </w:pPr>
            <w:r>
              <w:t xml:space="preserve">OLS</w:t>
            </w:r>
          </w:p>
        </w:tc>
      </w:tr>
      <w:tr>
        <w:tc>
          <w:tcPr/>
          <w:p>
            <w:pPr>
              <w:pStyle w:val="Compact"/>
              <w:jc w:val="left"/>
            </w:pPr>
            <w:r>
              <w:t xml:space="preserve">Holdout N</w:t>
            </w:r>
          </w:p>
        </w:tc>
        <w:tc>
          <w:tcPr/>
          <w:p>
            <w:pPr>
              <w:pStyle w:val="Compact"/>
              <w:jc w:val="right"/>
            </w:pPr>
            <w:r>
              <w:t xml:space="preserve">493,921 cells</w:t>
            </w:r>
          </w:p>
        </w:tc>
        <w:tc>
          <w:tcPr/>
          <w:p>
            <w:pPr>
              <w:pStyle w:val="Compact"/>
              <w:jc w:val="right"/>
            </w:pPr>
            <w:r>
              <w:t xml:space="preserve">493,921 cells</w:t>
            </w:r>
          </w:p>
        </w:tc>
      </w:tr>
      <w:tr>
        <w:tc>
          <w:tcPr/>
          <w:p>
            <w:pPr>
              <w:pStyle w:val="Compact"/>
              <w:jc w:val="left"/>
            </w:pPr>
            <w:r>
              <w:t xml:space="preserve">Base rate</w:t>
            </w:r>
          </w:p>
        </w:tc>
        <w:tc>
          <w:tcPr/>
          <w:p>
            <w:pPr>
              <w:pStyle w:val="Compact"/>
              <w:jc w:val="right"/>
            </w:pPr>
            <w:r>
              <w:t xml:space="preserve">1.74% positive</w:t>
            </w:r>
          </w:p>
        </w:tc>
        <w:tc>
          <w:tcPr/>
          <w:p>
            <w:pPr>
              <w:pStyle w:val="Compact"/>
              <w:jc w:val="right"/>
            </w:pPr>
            <w:r>
              <w:t xml:space="preserve">1.74% positive</w:t>
            </w:r>
          </w:p>
        </w:tc>
      </w:tr>
      <w:tr>
        <w:tc>
          <w:tcPr/>
          <w:p>
            <w:pPr>
              <w:pStyle w:val="Compact"/>
              <w:jc w:val="left"/>
            </w:pPr>
            <w:r>
              <w:t xml:space="preserve">Standard AUC</w:t>
            </w:r>
          </w:p>
        </w:tc>
        <w:tc>
          <w:tcPr/>
          <w:p>
            <w:pPr>
              <w:pStyle w:val="Compact"/>
              <w:jc w:val="right"/>
            </w:pPr>
            <w:r>
              <w:t xml:space="preserve">0.712</w:t>
            </w:r>
          </w:p>
        </w:tc>
        <w:tc>
          <w:tcPr/>
          <w:p>
            <w:pPr>
              <w:pStyle w:val="Compact"/>
              <w:jc w:val="right"/>
            </w:pPr>
            <w:r>
              <w:t xml:space="preserve">0.695</w:t>
            </w:r>
          </w:p>
        </w:tc>
      </w:tr>
      <w:tr>
        <w:tc>
          <w:tcPr/>
          <w:p>
            <w:pPr>
              <w:pStyle w:val="Compact"/>
              <w:jc w:val="left"/>
            </w:pPr>
            <w:r>
              <w:t xml:space="preserve">Weighted AUC (tuning criterion)</w:t>
            </w:r>
          </w:p>
        </w:tc>
        <w:tc>
          <w:tcPr/>
          <w:p>
            <w:pPr>
              <w:pStyle w:val="Compact"/>
              <w:jc w:val="right"/>
            </w:pPr>
            <w:r>
              <w:t xml:space="preserve">0.766</w:t>
            </w:r>
          </w:p>
        </w:tc>
        <w:tc>
          <w:tcPr/>
          <w:p>
            <w:pPr>
              <w:pStyle w:val="Compact"/>
              <w:jc w:val="right"/>
            </w:pPr>
            <w:r>
              <w:t xml:space="preserve">0.753</w:t>
            </w:r>
          </w:p>
        </w:tc>
      </w:tr>
      <w:tr>
        <w:tc>
          <w:tcPr/>
          <w:p>
            <w:pPr>
              <w:pStyle w:val="Compact"/>
              <w:jc w:val="left"/>
            </w:pPr>
            <w:r>
              <w:t xml:space="preserve">Top-1,000 capture (victim-weighted)</w:t>
            </w:r>
          </w:p>
        </w:tc>
        <w:tc>
          <w:tcPr/>
          <w:p>
            <w:pPr>
              <w:pStyle w:val="Compact"/>
              <w:jc w:val="right"/>
            </w:pPr>
            <w:r>
              <w:t xml:space="preserve">1,901 events</w:t>
            </w:r>
          </w:p>
        </w:tc>
        <w:tc>
          <w:tcPr/>
          <w:p>
            <w:pPr>
              <w:pStyle w:val="Compact"/>
              <w:jc w:val="right"/>
            </w:pPr>
            <w:r>
              <w:t xml:space="preserve">1,963 events</w:t>
            </w:r>
          </w:p>
        </w:tc>
      </w:tr>
      <w:tr>
        <w:tc>
          <w:tcPr/>
          <w:p>
            <w:pPr>
              <w:pStyle w:val="Compact"/>
              <w:jc w:val="left"/>
            </w:pPr>
            <w:r>
              <w:t xml:space="preserve">Top-1,000 capture (unweighted cells)</w:t>
            </w:r>
          </w:p>
        </w:tc>
        <w:tc>
          <w:tcPr/>
          <w:p>
            <w:pPr>
              <w:pStyle w:val="Compact"/>
              <w:jc w:val="right"/>
            </w:pPr>
            <w:r>
              <w:t xml:space="preserve">346 with ≥1 event</w:t>
            </w:r>
          </w:p>
        </w:tc>
        <w:tc>
          <w:tcPr/>
          <w:p>
            <w:pPr>
              <w:pStyle w:val="Compact"/>
              <w:jc w:val="right"/>
            </w:pPr>
            <w:r>
              <w:t xml:space="preserve">324 with ≥1 event</w:t>
            </w:r>
          </w:p>
        </w:tc>
      </w:tr>
      <w:tr>
        <w:tc>
          <w:tcPr/>
          <w:p>
            <w:pPr>
              <w:pStyle w:val="Compact"/>
              <w:jc w:val="left"/>
            </w:pPr>
            <w:r>
              <w:t xml:space="preserve">Expected under random (unweighted)</w:t>
            </w:r>
          </w:p>
        </w:tc>
        <w:tc>
          <w:tcPr/>
          <w:p>
            <w:pPr>
              <w:pStyle w:val="Compact"/>
              <w:jc w:val="right"/>
            </w:pPr>
            <w:r>
              <w:t xml:space="preserve">~17</w:t>
            </w:r>
          </w:p>
        </w:tc>
        <w:tc>
          <w:tcPr/>
          <w:p>
            <w:pPr>
              <w:pStyle w:val="Compact"/>
              <w:jc w:val="right"/>
            </w:pPr>
            <w:r>
              <w:t xml:space="preserve">~17</w:t>
            </w:r>
          </w:p>
        </w:tc>
      </w:tr>
    </w:tbl>
    <w:p>
      <w:pPr>
        <w:pStyle w:val="BodyText"/>
      </w:pPr>
      <w:r>
        <w:t xml:space="preserve">Theft produces the highest weighted AUC (0.766) of the individual</w:t>
      </w:r>
      <w:r>
        <w:t xml:space="preserve"> </w:t>
      </w:r>
      <w:r>
        <w:t xml:space="preserve">subtype models, consistent with theft being the most spatially concentrated property</w:t>
      </w:r>
      <w:r>
        <w:t xml:space="preserve"> </w:t>
      </w:r>
      <w:r>
        <w:t xml:space="preserve">crime category and therefore most amenable to predictive targeting. The theft model identified 346 individuals in the top 1000, far more than the 17 expected by random chance, offering coverage of 1901 theft events in the sample space. Further, the calibration</w:t>
      </w:r>
      <w:r>
        <w:t xml:space="preserve"> </w:t>
      </w:r>
      <w:r>
        <w:t xml:space="preserve">plot shows reasonable agreement between predicted probabilities and observed rates across</w:t>
      </w:r>
      <w:r>
        <w:t xml:space="preserve"> </w:t>
      </w:r>
      <w:r>
        <w:t xml:space="preserve">decile bins.</w:t>
      </w:r>
    </w:p>
    <w:bookmarkEnd w:id="32"/>
    <w:bookmarkStart w:id="33" w:name="burglary"/>
    <w:p>
      <w:pPr>
        <w:pStyle w:val="Heading3"/>
      </w:pPr>
      <w:r>
        <w:t xml:space="preserve">Burglary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ML Model</w:t>
            </w:r>
          </w:p>
        </w:tc>
        <w:tc>
          <w:tcPr/>
          <w:p>
            <w:pPr>
              <w:pStyle w:val="Compact"/>
              <w:jc w:val="right"/>
            </w:pPr>
            <w:r>
              <w:t xml:space="preserve">OLS</w:t>
            </w:r>
          </w:p>
        </w:tc>
      </w:tr>
      <w:tr>
        <w:tc>
          <w:tcPr/>
          <w:p>
            <w:pPr>
              <w:pStyle w:val="Compact"/>
              <w:jc w:val="left"/>
            </w:pPr>
            <w:r>
              <w:t xml:space="preserve">Holdout N</w:t>
            </w:r>
          </w:p>
        </w:tc>
        <w:tc>
          <w:tcPr/>
          <w:p>
            <w:pPr>
              <w:pStyle w:val="Compact"/>
              <w:jc w:val="right"/>
            </w:pPr>
            <w:r>
              <w:t xml:space="preserve">493,921 cells</w:t>
            </w:r>
          </w:p>
        </w:tc>
        <w:tc>
          <w:tcPr/>
          <w:p>
            <w:pPr>
              <w:pStyle w:val="Compact"/>
              <w:jc w:val="right"/>
            </w:pPr>
            <w:r>
              <w:t xml:space="preserve">493,921 cells</w:t>
            </w:r>
          </w:p>
        </w:tc>
      </w:tr>
      <w:tr>
        <w:tc>
          <w:tcPr/>
          <w:p>
            <w:pPr>
              <w:pStyle w:val="Compact"/>
              <w:jc w:val="left"/>
            </w:pPr>
            <w:r>
              <w:t xml:space="preserve">Base rate</w:t>
            </w:r>
          </w:p>
        </w:tc>
        <w:tc>
          <w:tcPr/>
          <w:p>
            <w:pPr>
              <w:pStyle w:val="Compact"/>
              <w:jc w:val="right"/>
            </w:pPr>
            <w:r>
              <w:t xml:space="preserve">0.55% positive</w:t>
            </w:r>
          </w:p>
        </w:tc>
        <w:tc>
          <w:tcPr/>
          <w:p>
            <w:pPr>
              <w:pStyle w:val="Compact"/>
              <w:jc w:val="right"/>
            </w:pPr>
            <w:r>
              <w:t xml:space="preserve">0.55% positive</w:t>
            </w:r>
          </w:p>
        </w:tc>
      </w:tr>
      <w:tr>
        <w:tc>
          <w:tcPr/>
          <w:p>
            <w:pPr>
              <w:pStyle w:val="Compact"/>
              <w:jc w:val="left"/>
            </w:pPr>
            <w:r>
              <w:t xml:space="preserve">Standard AUC</w:t>
            </w:r>
          </w:p>
        </w:tc>
        <w:tc>
          <w:tcPr/>
          <w:p>
            <w:pPr>
              <w:pStyle w:val="Compact"/>
              <w:jc w:val="right"/>
            </w:pPr>
            <w:r>
              <w:t xml:space="preserve">0.739</w:t>
            </w:r>
          </w:p>
        </w:tc>
        <w:tc>
          <w:tcPr/>
          <w:p>
            <w:pPr>
              <w:pStyle w:val="Compact"/>
              <w:jc w:val="right"/>
            </w:pPr>
            <w:r>
              <w:t xml:space="preserve">0.718</w:t>
            </w:r>
          </w:p>
        </w:tc>
      </w:tr>
      <w:tr>
        <w:tc>
          <w:tcPr/>
          <w:p>
            <w:pPr>
              <w:pStyle w:val="Compact"/>
              <w:jc w:val="left"/>
            </w:pPr>
            <w:r>
              <w:t xml:space="preserve">Weighted AUC (tuning criterion)</w:t>
            </w:r>
          </w:p>
        </w:tc>
        <w:tc>
          <w:tcPr/>
          <w:p>
            <w:pPr>
              <w:pStyle w:val="Compact"/>
              <w:jc w:val="right"/>
            </w:pPr>
            <w:r>
              <w:t xml:space="preserve">0.756</w:t>
            </w:r>
          </w:p>
        </w:tc>
        <w:tc>
          <w:tcPr/>
          <w:p>
            <w:pPr>
              <w:pStyle w:val="Compact"/>
              <w:jc w:val="right"/>
            </w:pPr>
            <w:r>
              <w:t xml:space="preserve">0.736</w:t>
            </w:r>
          </w:p>
        </w:tc>
      </w:tr>
      <w:tr>
        <w:tc>
          <w:tcPr/>
          <w:p>
            <w:pPr>
              <w:pStyle w:val="Compact"/>
              <w:jc w:val="left"/>
            </w:pPr>
            <w:r>
              <w:t xml:space="preserve">Top-1,000 capture (victim-weighted)</w:t>
            </w:r>
          </w:p>
        </w:tc>
        <w:tc>
          <w:tcPr/>
          <w:p>
            <w:pPr>
              <w:pStyle w:val="Compact"/>
              <w:jc w:val="right"/>
            </w:pPr>
            <w:r>
              <w:t xml:space="preserve">243 events</w:t>
            </w:r>
          </w:p>
        </w:tc>
        <w:tc>
          <w:tcPr/>
          <w:p>
            <w:pPr>
              <w:pStyle w:val="Compact"/>
              <w:jc w:val="right"/>
            </w:pPr>
            <w:r>
              <w:t xml:space="preserve">231 events</w:t>
            </w:r>
          </w:p>
        </w:tc>
      </w:tr>
      <w:tr>
        <w:tc>
          <w:tcPr/>
          <w:p>
            <w:pPr>
              <w:pStyle w:val="Compact"/>
              <w:jc w:val="left"/>
            </w:pPr>
            <w:r>
              <w:t xml:space="preserve">Top-1,000 capture (unweighted cells)</w:t>
            </w:r>
          </w:p>
        </w:tc>
        <w:tc>
          <w:tcPr/>
          <w:p>
            <w:pPr>
              <w:pStyle w:val="Compact"/>
              <w:jc w:val="right"/>
            </w:pPr>
            <w:r>
              <w:t xml:space="preserve">152 with ≥1 event</w:t>
            </w:r>
          </w:p>
        </w:tc>
        <w:tc>
          <w:tcPr/>
          <w:p>
            <w:pPr>
              <w:pStyle w:val="Compact"/>
              <w:jc w:val="right"/>
            </w:pPr>
            <w:r>
              <w:t xml:space="preserve">138 with ≥1 event</w:t>
            </w:r>
          </w:p>
        </w:tc>
      </w:tr>
      <w:tr>
        <w:tc>
          <w:tcPr/>
          <w:p>
            <w:pPr>
              <w:pStyle w:val="Compact"/>
              <w:jc w:val="left"/>
            </w:pPr>
            <w:r>
              <w:t xml:space="preserve">Expected under random (unweighted)</w:t>
            </w:r>
          </w:p>
        </w:tc>
        <w:tc>
          <w:tcPr/>
          <w:p>
            <w:pPr>
              <w:pStyle w:val="Compact"/>
              <w:jc w:val="right"/>
            </w:pPr>
            <w:r>
              <w:t xml:space="preserve">~6</w:t>
            </w:r>
          </w:p>
        </w:tc>
        <w:tc>
          <w:tcPr/>
          <w:p>
            <w:pPr>
              <w:pStyle w:val="Compact"/>
              <w:jc w:val="right"/>
            </w:pPr>
            <w:r>
              <w:t xml:space="preserve">~6</w:t>
            </w:r>
          </w:p>
        </w:tc>
      </w:tr>
    </w:tbl>
    <w:p>
      <w:pPr>
        <w:pStyle w:val="BodyText"/>
      </w:pPr>
      <w:r>
        <w:t xml:space="preserve">Burglary is the rarest subtype in this study area (0.55% positive rate).</w:t>
      </w:r>
      <w:r>
        <w:t xml:space="preserve"> </w:t>
      </w:r>
      <w:r>
        <w:t xml:space="preserve">Despite the low base rate, the model recovers a weighted AUC of 0.756,</w:t>
      </w:r>
      <w:r>
        <w:t xml:space="preserve"> </w:t>
      </w:r>
      <w:r>
        <w:t xml:space="preserve">demonstrating that meaningful spatial signal is recoverable even for infrequent events.</w:t>
      </w:r>
      <w:r>
        <w:t xml:space="preserve"> </w:t>
      </w:r>
      <w:r>
        <w:t xml:space="preserve">The Poisson loss function used during training is appropriate for the count-based,</w:t>
      </w:r>
      <w:r>
        <w:t xml:space="preserve"> </w:t>
      </w:r>
      <w:r>
        <w:t xml:space="preserve">overdispersed nature of burglary data.</w:t>
      </w:r>
    </w:p>
    <w:bookmarkEnd w:id="33"/>
    <w:bookmarkStart w:id="34" w:name="motor-vehicle-theft"/>
    <w:p>
      <w:pPr>
        <w:pStyle w:val="Heading3"/>
      </w:pPr>
      <w:r>
        <w:t xml:space="preserve">Motor Vehicle Theft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ML Model</w:t>
            </w:r>
          </w:p>
        </w:tc>
        <w:tc>
          <w:tcPr/>
          <w:p>
            <w:pPr>
              <w:pStyle w:val="Compact"/>
              <w:jc w:val="right"/>
            </w:pPr>
            <w:r>
              <w:t xml:space="preserve">OLS</w:t>
            </w:r>
          </w:p>
        </w:tc>
      </w:tr>
      <w:tr>
        <w:tc>
          <w:tcPr/>
          <w:p>
            <w:pPr>
              <w:pStyle w:val="Compact"/>
              <w:jc w:val="left"/>
            </w:pPr>
            <w:r>
              <w:t xml:space="preserve">Holdout N</w:t>
            </w:r>
          </w:p>
        </w:tc>
        <w:tc>
          <w:tcPr/>
          <w:p>
            <w:pPr>
              <w:pStyle w:val="Compact"/>
              <w:jc w:val="right"/>
            </w:pPr>
            <w:r>
              <w:t xml:space="preserve">493,921 cells</w:t>
            </w:r>
          </w:p>
        </w:tc>
        <w:tc>
          <w:tcPr/>
          <w:p>
            <w:pPr>
              <w:pStyle w:val="Compact"/>
              <w:jc w:val="right"/>
            </w:pPr>
            <w:r>
              <w:t xml:space="preserve">493,921 cells</w:t>
            </w:r>
          </w:p>
        </w:tc>
      </w:tr>
      <w:tr>
        <w:tc>
          <w:tcPr/>
          <w:p>
            <w:pPr>
              <w:pStyle w:val="Compact"/>
              <w:jc w:val="left"/>
            </w:pPr>
            <w:r>
              <w:t xml:space="preserve">Base rate</w:t>
            </w:r>
          </w:p>
        </w:tc>
        <w:tc>
          <w:tcPr/>
          <w:p>
            <w:pPr>
              <w:pStyle w:val="Compact"/>
              <w:jc w:val="right"/>
            </w:pPr>
            <w:r>
              <w:t xml:space="preserve">0.67% positive</w:t>
            </w:r>
          </w:p>
        </w:tc>
        <w:tc>
          <w:tcPr/>
          <w:p>
            <w:pPr>
              <w:pStyle w:val="Compact"/>
              <w:jc w:val="right"/>
            </w:pPr>
            <w:r>
              <w:t xml:space="preserve">0.67% positive</w:t>
            </w:r>
          </w:p>
        </w:tc>
      </w:tr>
      <w:tr>
        <w:tc>
          <w:tcPr/>
          <w:p>
            <w:pPr>
              <w:pStyle w:val="Compact"/>
              <w:jc w:val="left"/>
            </w:pPr>
            <w:r>
              <w:t xml:space="preserve">Standard AUC</w:t>
            </w:r>
          </w:p>
        </w:tc>
        <w:tc>
          <w:tcPr/>
          <w:p>
            <w:pPr>
              <w:pStyle w:val="Compact"/>
              <w:jc w:val="right"/>
            </w:pPr>
            <w:r>
              <w:t xml:space="preserve">0.718</w:t>
            </w:r>
          </w:p>
        </w:tc>
        <w:tc>
          <w:tcPr/>
          <w:p>
            <w:pPr>
              <w:pStyle w:val="Compact"/>
              <w:jc w:val="right"/>
            </w:pPr>
            <w:r>
              <w:t xml:space="preserve">0.698</w:t>
            </w:r>
          </w:p>
        </w:tc>
      </w:tr>
      <w:tr>
        <w:tc>
          <w:tcPr/>
          <w:p>
            <w:pPr>
              <w:pStyle w:val="Compact"/>
              <w:jc w:val="left"/>
            </w:pPr>
            <w:r>
              <w:t xml:space="preserve">Weighted AUC (tuning criterion)</w:t>
            </w:r>
          </w:p>
        </w:tc>
        <w:tc>
          <w:tcPr/>
          <w:p>
            <w:pPr>
              <w:pStyle w:val="Compact"/>
              <w:jc w:val="right"/>
            </w:pPr>
            <w:r>
              <w:t xml:space="preserve">0.729</w:t>
            </w:r>
          </w:p>
        </w:tc>
        <w:tc>
          <w:tcPr/>
          <w:p>
            <w:pPr>
              <w:pStyle w:val="Compact"/>
              <w:jc w:val="right"/>
            </w:pPr>
            <w:r>
              <w:t xml:space="preserve">0.710</w:t>
            </w:r>
          </w:p>
        </w:tc>
      </w:tr>
      <w:tr>
        <w:tc>
          <w:tcPr/>
          <w:p>
            <w:pPr>
              <w:pStyle w:val="Compact"/>
              <w:jc w:val="left"/>
            </w:pPr>
            <w:r>
              <w:t xml:space="preserve">Top-1,000 capture (victim-weighted)</w:t>
            </w:r>
          </w:p>
        </w:tc>
        <w:tc>
          <w:tcPr/>
          <w:p>
            <w:pPr>
              <w:pStyle w:val="Compact"/>
              <w:jc w:val="right"/>
            </w:pPr>
            <w:r>
              <w:t xml:space="preserve">235 events</w:t>
            </w:r>
          </w:p>
        </w:tc>
        <w:tc>
          <w:tcPr/>
          <w:p>
            <w:pPr>
              <w:pStyle w:val="Compact"/>
              <w:jc w:val="right"/>
            </w:pPr>
            <w:r>
              <w:t xml:space="preserve">178 events</w:t>
            </w:r>
          </w:p>
        </w:tc>
      </w:tr>
      <w:tr>
        <w:tc>
          <w:tcPr/>
          <w:p>
            <w:pPr>
              <w:pStyle w:val="Compact"/>
              <w:jc w:val="left"/>
            </w:pPr>
            <w:r>
              <w:t xml:space="preserve">Top-1,000 capture (unweighted cells)</w:t>
            </w:r>
          </w:p>
        </w:tc>
        <w:tc>
          <w:tcPr/>
          <w:p>
            <w:pPr>
              <w:pStyle w:val="Compact"/>
              <w:jc w:val="right"/>
            </w:pPr>
            <w:r>
              <w:t xml:space="preserve">150 with ≥1 event</w:t>
            </w:r>
          </w:p>
        </w:tc>
        <w:tc>
          <w:tcPr/>
          <w:p>
            <w:pPr>
              <w:pStyle w:val="Compact"/>
              <w:jc w:val="right"/>
            </w:pPr>
            <w:r>
              <w:t xml:space="preserve">108 with ≥1 event</w:t>
            </w:r>
          </w:p>
        </w:tc>
      </w:tr>
      <w:tr>
        <w:tc>
          <w:tcPr/>
          <w:p>
            <w:pPr>
              <w:pStyle w:val="Compact"/>
              <w:jc w:val="left"/>
            </w:pPr>
            <w:r>
              <w:t xml:space="preserve">Expected under random (unweighted)</w:t>
            </w:r>
          </w:p>
        </w:tc>
        <w:tc>
          <w:tcPr/>
          <w:p>
            <w:pPr>
              <w:pStyle w:val="Compact"/>
              <w:jc w:val="right"/>
            </w:pPr>
            <w:r>
              <w:t xml:space="preserve">~7</w:t>
            </w:r>
          </w:p>
        </w:tc>
        <w:tc>
          <w:tcPr/>
          <w:p>
            <w:pPr>
              <w:pStyle w:val="Compact"/>
              <w:jc w:val="right"/>
            </w:pPr>
            <w:r>
              <w:t xml:space="preserve">~7</w:t>
            </w:r>
          </w:p>
        </w:tc>
      </w:tr>
    </w:tbl>
    <w:p>
      <w:pPr>
        <w:pStyle w:val="BodyText"/>
      </w:pPr>
      <w:r>
        <w:t xml:space="preserve">Motor vehicle theft yields the lowest weighted AUC (0.729) among the</w:t>
      </w:r>
      <w:r>
        <w:t xml:space="preserve"> </w:t>
      </w:r>
      <w:r>
        <w:t xml:space="preserve">four models, suggesting that spatial patterns for vehicle theft are more diffuse or</w:t>
      </w:r>
      <w:r>
        <w:t xml:space="preserve"> </w:t>
      </w:r>
      <w:r>
        <w:t xml:space="preserve">temporally unstable compared to the other subtypes. This is consistent with</w:t>
      </w:r>
      <w:r>
        <w:t xml:space="preserve"> </w:t>
      </w:r>
      <w:r>
        <w:t xml:space="preserve">its level of occurrence in the sample space, seeing a base rate of only 0.67%.</w:t>
      </w:r>
    </w:p>
    <w:bookmarkEnd w:id="34"/>
    <w:bookmarkStart w:id="35" w:name="summary"/>
    <w:p>
      <w:pPr>
        <w:pStyle w:val="Heading3"/>
      </w:pPr>
      <w:r>
        <w:t xml:space="preserve">Summary</w:t>
      </w:r>
    </w:p>
    <w:p>
      <w:pPr>
        <w:pStyle w:val="FirstParagraph"/>
      </w:pPr>
      <w:r>
        <w:t xml:space="preserve">All four models perform above the random-chance baseline (AUC = 0.50), as well as the field-accepted quality threshold of AUC = 0.7. However, per the specifications of the preregistration, only the total property crime and theft models successfully identified over 200 individuals in the top 1000, rendering the burglary and motor vehicle theft models unsuccessful. While this does not necessarily mean these outcomes are not worth further modeling, this may speak to the simple infrequency of burglary and motor vehicle theft in the sample space. With base rates of 0.55% and 0.67%, respectively, it is possible that in order to reach the threshold of 200, models would need to consistently identify one-time offenders or victims.</w:t>
      </w:r>
    </w:p>
    <w:p>
      <w:pPr>
        <w:pStyle w:val="BodyText"/>
      </w:pPr>
      <w:r>
        <w:t xml:space="preserve">This points to an identified struggle for machine learning models when dealing with infrequent outcomes: predictive value of a model is inherently bounded the actual rate of the outcome (Wheeler, Worden &amp; Silver, 2019). The infrequent nature of motor vehicle theft and burglary not only requires models to identify single-instance offenders or victims at a higher rate, who may be notably more difficult to predict than those with higher offender/victim counts, even in the midst of an extremely high AUC, we encounter the issue of Bayes’ theorem, where positives produced by the model become more likely to be false, not as a shortcoming of the model, but as an artifact of the underlying prevalence in the population. Therefore, at this stage of the analysis, we recommend that implenetation of models remains within total property crime and theft outcomes, allowing for further methdological inquiry into modeling of burgalry and motor vehicle theft.</w:t>
      </w:r>
    </w:p>
    <w:bookmarkEnd w:id="35"/>
    <w:bookmarkEnd w:id="36"/>
    <w:sectPr w:rsidR="004D15E7" w:rsidRPr="00E72D39" w:rsidSect="002D6C64">
      <w:headerReference r:id="rId11" w:type="even"/>
      <w:headerReference r:id="rId10" w:type="default"/>
      <w:footerReference r:id="rId13" w:type="even"/>
      <w:footerReference r:id="rId12" w:type="default"/>
      <w:headerReference r:id="rId9" w:type="first"/>
      <w:footerReference r:id="rId14" w:type="first"/>
      <w:pgSz w:code="1" w:h="15840" w:w="12240"/>
      <w:pgMar w:bottom="720" w:footer="576" w:gutter="0" w:header="720" w:left="1008" w:right="1008" w:top="1008"/>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HelveticaNeueforSAS">
    <w:panose1 w:val="020B0604020202020204"/>
    <w:charset w:val="00"/>
    <w:family w:val="swiss"/>
    <w:pitch w:val="variable"/>
    <w:sig w:usb0="A00002E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18482" w14:textId="77777777" w:rsidR="009A2FDD" w:rsidRDefault="009A2F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B973D" w14:textId="29BD5194" w:rsidR="00BD1E19" w:rsidRPr="00414565" w:rsidRDefault="005E10E8" w:rsidP="009C221D">
    <w:pPr>
      <w:pStyle w:val="Footer"/>
      <w:spacing w:before="120"/>
    </w:pPr>
    <w:r w:rsidRPr="009C221D">
      <w:rPr>
        <w:noProof/>
        <w:shd w:val="clear" w:color="auto" w:fill="FFFFFF" w:themeFill="background1"/>
      </w:rPr>
      <w:drawing>
        <wp:anchor distT="0" distB="0" distL="114300" distR="114300" simplePos="0" relativeHeight="251655166" behindDoc="1" locked="0" layoutInCell="1" allowOverlap="1" wp14:anchorId="7D44BB56" wp14:editId="1C11CDD9">
          <wp:simplePos x="0" y="0"/>
          <wp:positionH relativeFrom="column">
            <wp:posOffset>-78105</wp:posOffset>
          </wp:positionH>
          <wp:positionV relativeFrom="paragraph">
            <wp:posOffset>-127000</wp:posOffset>
          </wp:positionV>
          <wp:extent cx="5648325" cy="640080"/>
          <wp:effectExtent l="0" t="0" r="9525" b="7620"/>
          <wp:wrapNone/>
          <wp:docPr id="1928643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48031"/>
                  <a:stretch/>
                </pic:blipFill>
                <pic:spPr bwMode="auto">
                  <a:xfrm>
                    <a:off x="0" y="0"/>
                    <a:ext cx="5648325" cy="640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221D">
      <w:rPr>
        <w:noProof/>
        <w:shd w:val="clear" w:color="auto" w:fill="FFFFFF" w:themeFill="background1"/>
      </w:rPr>
      <w:drawing>
        <wp:anchor distT="0" distB="0" distL="114300" distR="114300" simplePos="0" relativeHeight="251653116" behindDoc="1" locked="0" layoutInCell="1" allowOverlap="1" wp14:anchorId="2D11DB61" wp14:editId="75354ECE">
          <wp:simplePos x="0" y="0"/>
          <wp:positionH relativeFrom="column">
            <wp:posOffset>5179695</wp:posOffset>
          </wp:positionH>
          <wp:positionV relativeFrom="paragraph">
            <wp:posOffset>-117475</wp:posOffset>
          </wp:positionV>
          <wp:extent cx="1933575" cy="639445"/>
          <wp:effectExtent l="0" t="0" r="9525" b="8255"/>
          <wp:wrapNone/>
          <wp:docPr id="325211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44938" r="48031"/>
                  <a:stretch/>
                </pic:blipFill>
                <pic:spPr bwMode="auto">
                  <a:xfrm>
                    <a:off x="0" y="0"/>
                    <a:ext cx="1933575" cy="639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221D" w:rsidRPr="009C221D">
      <w:rPr>
        <w:noProof/>
        <w:shd w:val="clear" w:color="auto" w:fill="FFFFFF" w:themeFill="background1"/>
      </w:rPr>
      <w:drawing>
        <wp:anchor distT="0" distB="0" distL="114300" distR="114300" simplePos="0" relativeHeight="251654141" behindDoc="1" locked="0" layoutInCell="1" allowOverlap="1" wp14:anchorId="663AD3D1" wp14:editId="41579D43">
          <wp:simplePos x="0" y="0"/>
          <wp:positionH relativeFrom="column">
            <wp:posOffset>-716280</wp:posOffset>
          </wp:positionH>
          <wp:positionV relativeFrom="paragraph">
            <wp:posOffset>-127000</wp:posOffset>
          </wp:positionV>
          <wp:extent cx="1600200" cy="639445"/>
          <wp:effectExtent l="0" t="0" r="0" b="8255"/>
          <wp:wrapNone/>
          <wp:docPr id="646171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94089"/>
                  <a:stretch/>
                </pic:blipFill>
                <pic:spPr bwMode="auto">
                  <a:xfrm>
                    <a:off x="0" y="0"/>
                    <a:ext cx="1600200" cy="639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221D">
      <w:rPr>
        <w:rFonts w:ascii="Verdana" w:hAnsi="Verdana"/>
        <w:shd w:val="clear" w:color="auto" w:fill="FFFFFF" w:themeFill="background1"/>
      </w:rPr>
      <w:t xml:space="preserve"> </w:t>
    </w:r>
    <w:r w:rsidRPr="005E10E8">
      <w:rPr>
        <w:rFonts w:ascii="Verdana" w:hAnsi="Verdana"/>
        <w:color w:val="FFFFFF" w:themeColor="background1"/>
        <w:shd w:val="clear" w:color="auto" w:fill="FFFFFF" w:themeFill="background1"/>
      </w:rPr>
      <w:t>_</w:t>
    </w:r>
    <w:r w:rsidR="009C221D" w:rsidRPr="009C221D">
      <w:rPr>
        <w:rFonts w:ascii="Verdana" w:hAnsi="Verdana"/>
        <w:shd w:val="clear" w:color="auto" w:fill="FFFFFF" w:themeFill="background1"/>
      </w:rPr>
      <w:fldChar w:fldCharType="begin"/>
    </w:r>
    <w:r w:rsidR="009C221D" w:rsidRPr="009C221D">
      <w:rPr>
        <w:rFonts w:ascii="Verdana" w:hAnsi="Verdana"/>
        <w:shd w:val="clear" w:color="auto" w:fill="FFFFFF" w:themeFill="background1"/>
      </w:rPr>
      <w:instrText xml:space="preserve"> PAGE   \* MERGEFORMAT </w:instrText>
    </w:r>
    <w:r w:rsidR="009C221D" w:rsidRPr="009C221D">
      <w:rPr>
        <w:rFonts w:ascii="Verdana" w:hAnsi="Verdana"/>
        <w:shd w:val="clear" w:color="auto" w:fill="FFFFFF" w:themeFill="background1"/>
      </w:rPr>
      <w:fldChar w:fldCharType="separate"/>
    </w:r>
    <w:r w:rsidR="009C221D" w:rsidRPr="009C221D">
      <w:rPr>
        <w:rFonts w:ascii="Verdana" w:hAnsi="Verdana"/>
        <w:noProof/>
        <w:shd w:val="clear" w:color="auto" w:fill="FFFFFF" w:themeFill="background1"/>
      </w:rPr>
      <w:t>3</w:t>
    </w:r>
    <w:r w:rsidR="009C221D" w:rsidRPr="009C221D">
      <w:rPr>
        <w:rFonts w:ascii="Verdana" w:hAnsi="Verdana"/>
        <w:shd w:val="clear" w:color="auto" w:fill="FFFFFF" w:themeFill="background1"/>
      </w:rPr>
      <w:fldChar w:fldCharType="end"/>
    </w:r>
    <w:r w:rsidRPr="005E10E8">
      <w:rPr>
        <w:rFonts w:ascii="Verdana" w:hAnsi="Verdana"/>
        <w:color w:val="FFFFFF" w:themeColor="background1"/>
        <w:shd w:val="clear" w:color="auto" w:fill="FFFFFF" w:themeFill="background1"/>
      </w:rPr>
      <w:t>_</w:t>
    </w:r>
    <w:r w:rsidR="009C221D">
      <w:rPr>
        <w:rFonts w:ascii="Verdana" w:hAnsi="Verdana"/>
        <w:shd w:val="clear" w:color="auto" w:fill="FFFFFF" w:themeFill="background1"/>
      </w:rPr>
      <w:t xml:space="preserve"> </w:t>
    </w:r>
    <w:r w:rsidR="009C221D" w:rsidRPr="00414565">
      <w:ptab w:relativeTo="margin" w:alignment="center" w:leader="none"/>
    </w:r>
    <w:r w:rsidR="009C221D" w:rsidRPr="00414565">
      <w:ptab w:relativeTo="margin" w:alignment="right" w:leader="none"/>
    </w:r>
    <w:r w:rsidRPr="005E10E8">
      <w:rPr>
        <w:shd w:val="clear" w:color="auto" w:fill="FFFFFF" w:themeFill="background1"/>
      </w:rPr>
      <w:t xml:space="preserve"> </w:t>
    </w:r>
    <w:r w:rsidRPr="005E10E8">
      <w:rPr>
        <w:color w:val="FFFFFF" w:themeColor="background1"/>
        <w:shd w:val="clear" w:color="auto" w:fill="FFFFFF" w:themeFill="background1"/>
      </w:rPr>
      <w:t>_</w:t>
    </w:r>
    <w:r w:rsidR="009C221D" w:rsidRPr="005E10E8">
      <w:rPr>
        <w:rFonts w:ascii="Verdana" w:hAnsi="Verdana"/>
        <w:shd w:val="clear" w:color="auto" w:fill="FFFFFF" w:themeFill="background1"/>
      </w:rPr>
      <w:t>crimede-coder.com</w:t>
    </w:r>
    <w:r w:rsidRPr="005E10E8">
      <w:rPr>
        <w:rFonts w:ascii="Verdana" w:hAnsi="Verdana"/>
        <w:color w:val="FFFFFF" w:themeColor="background1"/>
        <w:shd w:val="clear" w:color="auto" w:fill="FFFFFF" w:themeFill="background1"/>
      </w:rPr>
      <w:t>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66242" w14:textId="77777777" w:rsidR="009A2FDD" w:rsidRDefault="009A2F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2A2F4" w14:textId="77777777" w:rsidR="009A2FDD" w:rsidRDefault="009A2F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4209C2" w14:textId="76A259E7" w:rsidR="00BD1E19" w:rsidRPr="00280704" w:rsidRDefault="00280704">
    <w:pPr>
      <w:pStyle w:val="Header"/>
    </w:pPr>
    <w:r w:rsidRPr="00280704">
      <w:rPr>
        <w:noProof/>
      </w:rPr>
      <w:drawing>
        <wp:anchor distT="0" distB="0" distL="114300" distR="114300" simplePos="0" relativeHeight="251795456" behindDoc="1" locked="0" layoutInCell="1" allowOverlap="1" wp14:anchorId="455F88B8" wp14:editId="489836F0">
          <wp:simplePos x="0" y="0"/>
          <wp:positionH relativeFrom="column">
            <wp:posOffset>-916305</wp:posOffset>
          </wp:positionH>
          <wp:positionV relativeFrom="paragraph">
            <wp:posOffset>-314325</wp:posOffset>
          </wp:positionV>
          <wp:extent cx="3898265" cy="640080"/>
          <wp:effectExtent l="0" t="0" r="6985" b="7620"/>
          <wp:wrapNone/>
          <wp:docPr id="134961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48031"/>
                  <a:stretch/>
                </pic:blipFill>
                <pic:spPr bwMode="auto">
                  <a:xfrm>
                    <a:off x="0" y="0"/>
                    <a:ext cx="3898265" cy="640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0704">
      <w:rPr>
        <w:noProof/>
      </w:rPr>
      <w:drawing>
        <wp:anchor distT="0" distB="0" distL="114300" distR="114300" simplePos="0" relativeHeight="251657216" behindDoc="1" locked="0" layoutInCell="1" allowOverlap="1" wp14:anchorId="729DF458" wp14:editId="2733FAEE">
          <wp:simplePos x="0" y="0"/>
          <wp:positionH relativeFrom="column">
            <wp:posOffset>1645920</wp:posOffset>
          </wp:positionH>
          <wp:positionV relativeFrom="paragraph">
            <wp:posOffset>-314325</wp:posOffset>
          </wp:positionV>
          <wp:extent cx="5467350" cy="640080"/>
          <wp:effectExtent l="0" t="0" r="0" b="7620"/>
          <wp:wrapNone/>
          <wp:docPr id="656946302" name="Picture 2">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46302" name="Picture 2">
                    <a:hlinkClick r:id="rId2"/>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6735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0704">
      <w:t xml:space="preserve"> </w:t>
    </w:r>
  </w:p>
  <w:p w14:paraId="507D0FE6" w14:textId="77777777" w:rsidR="00BD1E19" w:rsidRPr="00280704" w:rsidRDefault="00BD1E19">
    <w:pPr>
      <w:pStyle w:val="Header"/>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359507" w14:textId="77777777" w:rsidR="009A2FDD" w:rsidRDefault="009A2FD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89"/>
    <w:multiLevelType w:val="singleLevel"/>
    <w:tmpl w:val="A93E57AC"/>
    <w:lvl w:ilvl="0">
      <w:start w:val="1"/>
      <w:numFmt w:val="bullet"/>
      <w:pStyle w:val="ListBullet"/>
      <w:lvlText w:val=""/>
      <w:lvlJc w:val="left"/>
      <w:pPr>
        <w:ind w:hanging="360" w:left="360"/>
      </w:pPr>
      <w:rPr>
        <w:rFonts w:ascii="Wingdings" w:hAnsi="Wingdings" w:hint="default"/>
      </w:rPr>
    </w:lvl>
  </w:abstractNum>
  <w:abstractNum w15:restartNumberingAfterBreak="0" w:abstractNumId="1">
    <w:nsid w:val="0000A990"/>
    <w:multiLevelType w:val="multilevel"/>
    <w:tmpl w:val="2E7A771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
    <w:nsid w:val="170CD2DE"/>
    <w:multiLevelType w:val="multilevel"/>
    <w:tmpl w:val="0B3A278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1CF2FA6"/>
    <w:multiLevelType w:val="hybridMultilevel"/>
    <w:tmpl w:val="40FEE50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2AF95570"/>
    <w:multiLevelType w:val="hybridMultilevel"/>
    <w:tmpl w:val="D1D203D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30E86033"/>
    <w:multiLevelType w:val="hybridMultilevel"/>
    <w:tmpl w:val="AB44C5B6"/>
    <w:lvl w:ilvl="0" w:tplc="02BAFD1C">
      <w:start w:val="1"/>
      <w:numFmt w:val="decimal"/>
      <w:pStyle w:val="List"/>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19441D6"/>
    <w:multiLevelType w:val="hybridMultilevel"/>
    <w:tmpl w:val="49FA527C"/>
    <w:lvl w:ilvl="0" w:tplc="CD9A4132">
      <w:start w:val="1"/>
      <w:numFmt w:val="bullet"/>
      <w:pStyle w:val="Definition"/>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
    <w:nsid w:val="35FB10A6"/>
    <w:multiLevelType w:val="hybridMultilevel"/>
    <w:tmpl w:val="C548ED40"/>
    <w:lvl w:ilvl="0" w:tplc="12D48B28">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12374569" w:numId="1">
    <w:abstractNumId w:val="2"/>
  </w:num>
  <w:num w16cid:durableId="1806508857" w:numId="2">
    <w:abstractNumId w:val="0"/>
  </w:num>
  <w:num w16cid:durableId="357435663" w:numId="3">
    <w:abstractNumId w:val="4"/>
  </w:num>
  <w:num w16cid:durableId="1612516564" w:numId="4">
    <w:abstractNumId w:val="6"/>
  </w:num>
  <w:num w16cid:durableId="1781297037" w:numId="5">
    <w:abstractNumId w:val="5"/>
  </w:num>
  <w:num w16cid:durableId="1364474479" w:numId="6">
    <w:abstractNumId w:val="1"/>
  </w:num>
  <w:num w16cid:durableId="298655959" w:numId="7">
    <w:abstractNumId w:val="3"/>
  </w:num>
  <w:num w16cid:durableId="139418801" w:numId="8">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89"/>
    <w:rsid w:val="00014D03"/>
    <w:rsid w:val="00030EC7"/>
    <w:rsid w:val="00033EFE"/>
    <w:rsid w:val="00066938"/>
    <w:rsid w:val="001366E9"/>
    <w:rsid w:val="00200383"/>
    <w:rsid w:val="00243A71"/>
    <w:rsid w:val="00280704"/>
    <w:rsid w:val="002914FD"/>
    <w:rsid w:val="0029728C"/>
    <w:rsid w:val="002A5504"/>
    <w:rsid w:val="002D6991"/>
    <w:rsid w:val="002D6C64"/>
    <w:rsid w:val="0036332A"/>
    <w:rsid w:val="00400102"/>
    <w:rsid w:val="00402F0F"/>
    <w:rsid w:val="004B03C8"/>
    <w:rsid w:val="004D15E7"/>
    <w:rsid w:val="00504399"/>
    <w:rsid w:val="0053301D"/>
    <w:rsid w:val="00580724"/>
    <w:rsid w:val="005A1E5E"/>
    <w:rsid w:val="005E10E8"/>
    <w:rsid w:val="005E6DDA"/>
    <w:rsid w:val="006504AD"/>
    <w:rsid w:val="006E0110"/>
    <w:rsid w:val="006E18E2"/>
    <w:rsid w:val="007325D2"/>
    <w:rsid w:val="00773429"/>
    <w:rsid w:val="008106AD"/>
    <w:rsid w:val="008E6FC7"/>
    <w:rsid w:val="008F1BEE"/>
    <w:rsid w:val="009A2FDD"/>
    <w:rsid w:val="009C221D"/>
    <w:rsid w:val="00A0141F"/>
    <w:rsid w:val="00A81A52"/>
    <w:rsid w:val="00A8216F"/>
    <w:rsid w:val="00AA47E3"/>
    <w:rsid w:val="00BB0EE0"/>
    <w:rsid w:val="00BD1E19"/>
    <w:rsid w:val="00C74489"/>
    <w:rsid w:val="00CA403D"/>
    <w:rsid w:val="00CE659B"/>
    <w:rsid w:val="00D62EEF"/>
    <w:rsid w:val="00DE0857"/>
    <w:rsid w:val="00DE3A28"/>
    <w:rsid w:val="00E72D39"/>
    <w:rsid w:val="00F75AC8"/>
    <w:rsid w:val="00FC356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716CC2"/>
  </w:style>
  <w:style w:styleId="Heading1" w:type="paragraph">
    <w:name w:val="heading 1"/>
    <w:basedOn w:val="Normal"/>
    <w:next w:val="BodyText"/>
    <w:link w:val="Heading1Char"/>
    <w:uiPriority w:val="9"/>
    <w:qFormat/>
    <w:rsid w:val="0053301D"/>
    <w:pPr>
      <w:keepNext/>
      <w:keepLines/>
      <w:spacing w:after="0" w:before="480"/>
      <w:outlineLvl w:val="0"/>
    </w:pPr>
    <w:rPr>
      <w:rFonts w:ascii="Verdana" w:cstheme="majorBidi" w:eastAsiaTheme="majorEastAsia" w:hAnsi="Verdana"/>
      <w:b/>
      <w:bCs/>
      <w:sz w:val="32"/>
      <w:szCs w:val="32"/>
    </w:rPr>
  </w:style>
  <w:style w:styleId="Heading2" w:type="paragraph">
    <w:name w:val="heading 2"/>
    <w:basedOn w:val="Normal"/>
    <w:next w:val="BodyText"/>
    <w:uiPriority w:val="9"/>
    <w:unhideWhenUsed/>
    <w:qFormat/>
    <w:rsid w:val="00E141B5"/>
    <w:pPr>
      <w:keepNext/>
      <w:keepLines/>
      <w:spacing w:after="0" w:before="200"/>
      <w:outlineLvl w:val="1"/>
    </w:pPr>
    <w:rPr>
      <w:rFonts w:ascii="Verdana" w:cstheme="majorBidi" w:eastAsiaTheme="majorEastAsia" w:hAnsi="Verdana"/>
      <w:b/>
      <w:bCs/>
      <w:sz w:val="28"/>
      <w:szCs w:val="28"/>
    </w:rPr>
  </w:style>
  <w:style w:styleId="Heading3" w:type="paragraph">
    <w:name w:val="heading 3"/>
    <w:basedOn w:val="Normal"/>
    <w:next w:val="BodyText"/>
    <w:uiPriority w:val="9"/>
    <w:unhideWhenUsed/>
    <w:qFormat/>
    <w:rsid w:val="00E141B5"/>
    <w:pPr>
      <w:keepNext/>
      <w:keepLines/>
      <w:spacing w:after="0" w:before="200"/>
      <w:outlineLvl w:val="2"/>
    </w:pPr>
    <w:rPr>
      <w:rFonts w:ascii="Verdana" w:cstheme="majorBidi" w:eastAsiaTheme="majorEastAsia" w:hAnsi="Verdana"/>
      <w:b/>
      <w:bCs/>
    </w:rPr>
  </w:style>
  <w:style w:styleId="Heading4" w:type="paragraph">
    <w:name w:val="heading 4"/>
    <w:basedOn w:val="Normal"/>
    <w:next w:val="BodyText"/>
    <w:uiPriority w:val="9"/>
    <w:unhideWhenUsed/>
    <w:qFormat/>
    <w:rsid w:val="00400102"/>
    <w:pPr>
      <w:keepNext/>
      <w:keepLines/>
      <w:pageBreakBefore/>
      <w:spacing w:after="0"/>
      <w:outlineLvl w:val="3"/>
    </w:pPr>
    <w:rPr>
      <w:rFonts w:ascii="Verdana" w:cstheme="majorBidi" w:eastAsiaTheme="majorEastAsia" w:hAnsi="Verdana"/>
      <w:bCs/>
      <w:i/>
      <w:color w:themeColor="background1" w:val="FFFFFF"/>
      <w:spacing w:val="-2"/>
      <w:w w:val="33"/>
      <w:position w:val="2"/>
      <w:sz w:val="2"/>
    </w:rPr>
  </w:style>
  <w:style w:styleId="Heading5" w:type="paragraph">
    <w:name w:val="heading 5"/>
    <w:basedOn w:val="Normal"/>
    <w:next w:val="BodyText"/>
    <w:uiPriority w:val="9"/>
    <w:unhideWhenUsed/>
    <w:qFormat/>
    <w:rsid w:val="00E141B5"/>
    <w:pPr>
      <w:keepNext/>
      <w:keepLines/>
      <w:spacing w:after="0" w:before="200"/>
      <w:outlineLvl w:val="4"/>
    </w:pPr>
    <w:rPr>
      <w:rFonts w:ascii="Verdana" w:cstheme="majorBidi" w:eastAsiaTheme="majorEastAsia" w:hAnsi="Verdana"/>
      <w:iCs/>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E141B5"/>
    <w:pPr>
      <w:spacing w:after="180" w:before="180"/>
    </w:pPr>
    <w:rPr>
      <w:rFonts w:ascii="Verdana" w:hAnsi="Verdana"/>
    </w:rPr>
  </w:style>
  <w:style w:customStyle="1" w:styleId="FirstParagraph" w:type="paragraph">
    <w:name w:val="First Paragraph"/>
    <w:basedOn w:val="BodyText"/>
    <w:next w:val="BodyText"/>
    <w:qFormat/>
    <w:rsid w:val="00E141B5"/>
  </w:style>
  <w:style w:customStyle="1" w:styleId="Compact" w:type="paragraph">
    <w:name w:val="Compact"/>
    <w:basedOn w:val="BodyText"/>
    <w:qFormat/>
    <w:rsid w:val="00F75AC8"/>
    <w:pPr>
      <w:spacing w:after="36" w:before="36"/>
    </w:pPr>
    <w:rPr>
      <w:rFonts w:eastAsiaTheme="minorEastAsia"/>
      <w:bCs/>
    </w:rPr>
  </w:style>
  <w:style w:styleId="Title" w:type="paragraph">
    <w:name w:val="Title"/>
    <w:basedOn w:val="Normal"/>
    <w:next w:val="BodyText"/>
    <w:qFormat/>
    <w:rsid w:val="00414565"/>
    <w:pPr>
      <w:keepNext/>
      <w:keepLines/>
      <w:spacing w:after="240" w:before="2520"/>
    </w:pPr>
    <w:rPr>
      <w:rFonts w:ascii="Verdana" w:cstheme="majorBidi" w:eastAsiaTheme="majorEastAsia" w:hAnsi="Verdana"/>
      <w:b/>
      <w:bCs/>
      <w:smallCaps/>
      <w:sz w:val="72"/>
      <w:szCs w:val="36"/>
    </w:rPr>
  </w:style>
  <w:style w:styleId="Subtitle" w:type="paragraph">
    <w:name w:val="Subtitle"/>
    <w:basedOn w:val="Title"/>
    <w:next w:val="BodyText"/>
    <w:qFormat/>
    <w:rsid w:val="00716CC2"/>
    <w:pPr>
      <w:spacing w:before="240"/>
    </w:pPr>
    <w:rPr>
      <w:sz w:val="30"/>
      <w:szCs w:val="30"/>
    </w:rPr>
  </w:style>
  <w:style w:customStyle="1" w:styleId="Author" w:type="paragraph">
    <w:name w:val="Author"/>
    <w:next w:val="BodyText"/>
    <w:qFormat/>
    <w:rsid w:val="00716CC2"/>
    <w:pPr>
      <w:keepNext/>
      <w:keepLines/>
    </w:pPr>
    <w:rPr>
      <w:rFonts w:ascii="Verdana" w:hAnsi="Verdana"/>
      <w:b/>
    </w:rPr>
  </w:style>
  <w:style w:styleId="Date" w:type="paragraph">
    <w:name w:val="Date"/>
    <w:next w:val="BodyText"/>
    <w:qFormat/>
    <w:rsid w:val="00716CC2"/>
    <w:pPr>
      <w:keepNext/>
      <w:keepLines/>
    </w:pPr>
    <w:rPr>
      <w:rFonts w:ascii="Verdana" w:hAnsi="Verdana"/>
      <w:i/>
    </w:rPr>
  </w:style>
  <w:style w:customStyle="1" w:styleId="Abstract" w:type="paragraph">
    <w:name w:val="Abstract"/>
    <w:basedOn w:val="Normal"/>
    <w:next w:val="BodyText"/>
    <w:qFormat/>
    <w:rsid w:val="00716CC2"/>
    <w:pPr>
      <w:keepNext/>
      <w:keepLines/>
      <w:spacing w:after="300" w:before="300"/>
    </w:pPr>
    <w:rPr>
      <w:rFonts w:ascii="Verdana" w:hAnsi="Verdana"/>
      <w:b/>
      <w:szCs w:val="20"/>
    </w:rPr>
  </w:style>
  <w:style w:styleId="Bibliography" w:type="paragraph">
    <w:name w:val="Bibliography"/>
    <w:basedOn w:val="Normal"/>
    <w:qFormat/>
    <w:rsid w:val="008E6FC7"/>
    <w:pPr>
      <w:spacing w:after="180" w:before="180"/>
      <w:ind w:hanging="720" w:left="720"/>
    </w:pPr>
    <w:rPr>
      <w:rFonts w:ascii="Verdana" w:hAnsi="Verdana"/>
    </w:rPr>
  </w:style>
  <w:style w:styleId="BlockText" w:type="paragraph">
    <w:name w:val="Block Text"/>
    <w:basedOn w:val="BodyText"/>
    <w:next w:val="BodyText"/>
    <w:uiPriority w:val="9"/>
    <w:unhideWhenUsed/>
    <w:qFormat/>
    <w:rsid w:val="002A5504"/>
    <w:pPr>
      <w:spacing w:after="100" w:before="100"/>
      <w:ind w:left="480" w:right="480"/>
    </w:pPr>
    <w:rPr>
      <w:rFonts w:ascii="HelveticaNeueforSAS" w:hAnsi="HelveticaNeueforSAS"/>
      <w:sz w:val="22"/>
    </w:rPr>
  </w:style>
  <w:style w:styleId="FootnoteText" w:type="paragraph">
    <w:name w:val="footnote text"/>
    <w:basedOn w:val="Normal"/>
    <w:uiPriority w:val="9"/>
    <w:unhideWhenUsed/>
    <w:qFormat/>
    <w:rsid w:val="00E141B5"/>
    <w:rPr>
      <w:rFonts w:ascii="Verdana" w:hAnsi="Verdana"/>
      <w:sz w:val="18"/>
    </w:rPr>
  </w:style>
  <w:style w:customStyle="1" w:styleId="Table" w:type="table">
    <w:name w:val="Table"/>
    <w:basedOn w:val="CDCTable"/>
    <w:semiHidden/>
    <w:unhideWhenUsed/>
    <w:qFormat/>
    <w:tblPr/>
    <w:tblStylePr w:type="firstRow">
      <w:rPr>
        <w:rFonts w:ascii="Consolas" w:hAnsi="Consolas"/>
        <w:b/>
        <w:sz w:val="24"/>
      </w:rPr>
      <w:tblPr>
        <w:jc w:val="left"/>
      </w:tblPr>
      <w:trPr>
        <w:jc w:val="left"/>
      </w:trPr>
      <w:tcPr>
        <w:tcBorders>
          <w:bottom w:color="auto" w:space="0" w:sz="0" w:val="single"/>
        </w:tcBorders>
        <w:shd w:color="auto" w:fill="A6A6A6" w:themeFill="background1" w:themeFillShade="A6" w:val="clear"/>
        <w:vAlign w:val="bottom"/>
      </w:tcPr>
    </w:tblStylePr>
    <w:tblStylePr w:type="firstCol">
      <w:rPr>
        <w:i w:val="0"/>
      </w:rPr>
    </w:tblStylePr>
    <w:tblStylePr w:type="band1Horz">
      <w:rPr>
        <w:rFonts w:ascii="Consolas" w:hAnsi="Consolas"/>
        <w:sz w:val="22"/>
      </w:rPr>
    </w:tblStylePr>
    <w:tblStylePr w:type="band2Horz">
      <w:rPr>
        <w:rFonts w:ascii="Consolas" w:hAnsi="Consolas"/>
        <w:sz w:val="22"/>
      </w:rPr>
      <w:tblPr/>
      <w:tcPr>
        <w:shd w:color="auto" w:fill="D9D9D9" w:themeFill="background1" w:themeFillShade="D9" w:val="clear"/>
      </w:tcPr>
    </w:tblStylePr>
  </w:style>
  <w:style w:customStyle="1" w:styleId="DefinitionTerm" w:type="paragraph">
    <w:name w:val="Definition Term"/>
    <w:basedOn w:val="Normal"/>
    <w:next w:val="Definition"/>
    <w:rsid w:val="00E141B5"/>
    <w:pPr>
      <w:keepNext/>
      <w:keepLines/>
      <w:spacing w:after="0"/>
    </w:pPr>
    <w:rPr>
      <w:rFonts w:ascii="Verdana" w:hAnsi="Verdana"/>
      <w:b/>
    </w:rPr>
  </w:style>
  <w:style w:customStyle="1" w:styleId="Definition" w:type="paragraph">
    <w:name w:val="Definition"/>
    <w:basedOn w:val="Normal"/>
    <w:rsid w:val="00BC2C0D"/>
    <w:pPr>
      <w:numPr>
        <w:numId w:val="4"/>
      </w:numPr>
    </w:pPr>
    <w:rPr>
      <w:rFonts w:ascii="Verdana" w:hAnsi="Verdana"/>
    </w:rPr>
  </w:style>
  <w:style w:styleId="Caption" w:type="paragraph">
    <w:name w:val="caption"/>
    <w:basedOn w:val="Normal"/>
    <w:link w:val="CaptionChar"/>
    <w:pPr>
      <w:spacing w:after="120"/>
    </w:pPr>
    <w:rPr>
      <w:i/>
    </w:rPr>
  </w:style>
  <w:style w:customStyle="1" w:styleId="TableCaption" w:type="paragraph">
    <w:name w:val="Table Caption"/>
    <w:basedOn w:val="Caption"/>
    <w:rsid w:val="00BB0EE0"/>
    <w:pPr>
      <w:keepNext/>
    </w:pPr>
    <w:rPr>
      <w:rFonts w:ascii="Verdana" w:hAnsi="Verdana"/>
      <w:sz w:val="20"/>
    </w:rPr>
  </w:style>
  <w:style w:customStyle="1" w:styleId="ImageCaption" w:type="paragraph">
    <w:name w:val="Image Caption"/>
    <w:basedOn w:val="Caption"/>
    <w:rsid w:val="00504399"/>
    <w:rPr>
      <w:rFonts w:ascii="Verdana" w:hAnsi="Verdana"/>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sid w:val="00E141B5"/>
    <w:rPr>
      <w:rFonts w:ascii="Verdana" w:hAnsi="Verdana"/>
      <w:color w:themeColor="accent1" w:val="4F81BD"/>
      <w:sz w:val="24"/>
    </w:rPr>
  </w:style>
  <w:style w:styleId="TOCHeading" w:type="paragraph">
    <w:name w:val="TOC Heading"/>
    <w:basedOn w:val="Heading1"/>
    <w:next w:val="BodyText"/>
    <w:uiPriority w:val="39"/>
    <w:unhideWhenUsed/>
    <w:qFormat/>
    <w:rsid w:val="00400102"/>
    <w:pPr>
      <w:pageBreakBefore/>
      <w:framePr w:hAnchor="text" w:vAnchor="text" w:wrap="notBeside" w:y="1"/>
      <w:spacing w:before="240" w:line="259" w:lineRule="auto"/>
      <w:outlineLvl w:val="9"/>
    </w:pPr>
    <w:rPr>
      <w:b w:val="0"/>
      <w:bCs w:val="0"/>
    </w:rPr>
  </w:style>
  <w:style w:styleId="TOC1" w:type="paragraph">
    <w:name w:val="toc 1"/>
    <w:basedOn w:val="Normal"/>
    <w:next w:val="Normal"/>
    <w:autoRedefine/>
    <w:uiPriority w:val="39"/>
    <w:rsid w:val="008F7704"/>
    <w:pPr>
      <w:spacing w:after="100"/>
    </w:pPr>
    <w:rPr>
      <w:rFonts w:ascii="Verdana" w:hAnsi="Verdana"/>
    </w:rPr>
  </w:style>
  <w:style w:styleId="TOC2" w:type="paragraph">
    <w:name w:val="toc 2"/>
    <w:basedOn w:val="Normal"/>
    <w:next w:val="Normal"/>
    <w:autoRedefine/>
    <w:uiPriority w:val="39"/>
    <w:rsid w:val="008F7704"/>
    <w:pPr>
      <w:spacing w:after="100"/>
      <w:ind w:left="240"/>
    </w:pPr>
    <w:rPr>
      <w:rFonts w:ascii="Verdana" w:hAnsi="Verdana"/>
    </w:rPr>
  </w:style>
  <w:style w:styleId="TOC3" w:type="paragraph">
    <w:name w:val="toc 3"/>
    <w:basedOn w:val="Normal"/>
    <w:next w:val="Normal"/>
    <w:autoRedefine/>
    <w:uiPriority w:val="39"/>
    <w:rsid w:val="008F7704"/>
    <w:pPr>
      <w:spacing w:after="100"/>
      <w:ind w:left="480"/>
    </w:pPr>
    <w:rPr>
      <w:rFonts w:ascii="Verdana" w:hAnsi="Verdana"/>
    </w:rPr>
  </w:style>
  <w:style w:styleId="Header" w:type="paragraph">
    <w:name w:val="header"/>
    <w:basedOn w:val="Normal"/>
    <w:link w:val="HeaderChar"/>
    <w:uiPriority w:val="99"/>
    <w:rsid w:val="008C6D2B"/>
    <w:pPr>
      <w:tabs>
        <w:tab w:pos="4680" w:val="center"/>
        <w:tab w:pos="9360" w:val="right"/>
      </w:tabs>
      <w:spacing w:after="0"/>
    </w:pPr>
  </w:style>
  <w:style w:customStyle="1" w:styleId="HeaderChar" w:type="character">
    <w:name w:val="Header Char"/>
    <w:basedOn w:val="DefaultParagraphFont"/>
    <w:link w:val="Header"/>
    <w:uiPriority w:val="99"/>
    <w:rsid w:val="008C6D2B"/>
  </w:style>
  <w:style w:styleId="Footer" w:type="paragraph">
    <w:name w:val="footer"/>
    <w:basedOn w:val="Normal"/>
    <w:link w:val="FooterChar"/>
    <w:rsid w:val="008C6D2B"/>
    <w:pPr>
      <w:tabs>
        <w:tab w:pos="4680" w:val="center"/>
        <w:tab w:pos="9360" w:val="right"/>
      </w:tabs>
      <w:spacing w:after="0"/>
    </w:pPr>
  </w:style>
  <w:style w:customStyle="1" w:styleId="FooterChar" w:type="character">
    <w:name w:val="Footer Char"/>
    <w:basedOn w:val="DefaultParagraphFont"/>
    <w:link w:val="Footer"/>
    <w:rsid w:val="008C6D2B"/>
  </w:style>
  <w:style w:styleId="GridTable4" w:type="table">
    <w:name w:val="Grid Table 4"/>
    <w:basedOn w:val="TableNormal"/>
    <w:uiPriority w:val="49"/>
    <w:rsid w:val="000179F2"/>
    <w:pPr>
      <w:spacing w:after="0"/>
      <w:jc w:val="right"/>
    </w:pPr>
    <w:rPr>
      <w:rFonts w:ascii="Consolas" w:hAnsi="Consolas"/>
      <w:sz w:val="22"/>
    </w:rPr>
    <w:tblPr>
      <w:tblStyleRowBandSize w:val="1"/>
      <w:tblStyleColBandSize w:val="1"/>
    </w:tblPr>
    <w:tcPr>
      <w:shd w:color="auto" w:fill="FFFFFF" w:themeFill="background1" w:val="clear"/>
      <w:vAlign w:val="center"/>
    </w:tc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pPr>
        <w:jc w:val="left"/>
      </w:pPr>
      <w:rPr>
        <w:b w:val="0"/>
        <w:bCs/>
      </w:rPr>
    </w:tblStylePr>
    <w:tblStylePr w:type="lastCol">
      <w:rPr>
        <w:b/>
        <w:bCs/>
      </w:rPr>
    </w:tblStylePr>
    <w:tblStylePr w:type="band1Vert">
      <w:tblPr/>
      <w:tcPr>
        <w:shd w:color="auto" w:fill="CCCCCC" w:themeFill="text1" w:themeFillTint="33" w:val="clear"/>
      </w:tcPr>
    </w:tblStylePr>
    <w:tblStylePr w:type="band2Horz">
      <w:tblPr/>
      <w:tcPr>
        <w:shd w:color="auto" w:fill="D9D9D9" w:themeFill="background1" w:themeFillShade="D9" w:val="clear"/>
      </w:tcPr>
    </w:tblStylePr>
  </w:style>
  <w:style w:customStyle="1" w:styleId="CDCTable" w:type="table">
    <w:name w:val="CDC_Table"/>
    <w:basedOn w:val="TableNormal"/>
    <w:uiPriority w:val="99"/>
    <w:rsid w:val="00F75AC8"/>
    <w:pPr>
      <w:spacing w:after="0"/>
    </w:pPr>
    <w:rPr>
      <w:rFonts w:ascii="Consolas" w:eastAsiaTheme="minorEastAsia" w:hAnsi="Consolas"/>
      <w:sz w:val="22"/>
    </w:rPr>
    <w:tblPr>
      <w:tblStyleRowBandSize w:val="1"/>
      <w:tblBorders>
        <w:top w:color="auto" w:space="0" w:sz="4" w:val="single"/>
        <w:left w:color="auto" w:space="0" w:sz="4" w:val="single"/>
        <w:bottom w:color="auto" w:space="0" w:sz="4" w:val="single"/>
        <w:right w:color="auto" w:space="0" w:sz="4" w:val="single"/>
      </w:tblBorders>
    </w:tblPr>
    <w:tblStylePr w:type="firstRow">
      <w:rPr>
        <w:rFonts w:ascii="Consolas" w:hAnsi="Consolas"/>
        <w:b/>
        <w:sz w:val="24"/>
      </w:rPr>
      <w:tblPr/>
      <w:tcPr>
        <w:shd w:color="auto" w:fill="A6A6A6" w:themeFill="background1" w:themeFillShade="A6" w:val="clear"/>
      </w:tcPr>
    </w:tblStylePr>
    <w:tblStylePr w:type="firstCol">
      <w:rPr>
        <w:i w:val="0"/>
      </w:rPr>
    </w:tblStylePr>
    <w:tblStylePr w:type="band1Horz">
      <w:rPr>
        <w:rFonts w:ascii="Consolas" w:hAnsi="Consolas"/>
        <w:sz w:val="22"/>
      </w:rPr>
    </w:tblStylePr>
    <w:tblStylePr w:type="band2Horz">
      <w:rPr>
        <w:rFonts w:ascii="Consolas" w:hAnsi="Consolas"/>
        <w:sz w:val="22"/>
      </w:rPr>
      <w:tblPr/>
      <w:tcPr>
        <w:shd w:color="auto" w:fill="D9D9D9" w:themeFill="background1" w:themeFillShade="D9" w:val="clear"/>
      </w:tcPr>
    </w:tblStylePr>
  </w:style>
  <w:style w:styleId="List" w:type="paragraph">
    <w:name w:val="List"/>
    <w:basedOn w:val="Normal"/>
    <w:rsid w:val="00927F50"/>
    <w:pPr>
      <w:numPr>
        <w:numId w:val="5"/>
      </w:numPr>
      <w:contextualSpacing/>
    </w:pPr>
    <w:rPr>
      <w:rFonts w:ascii="Verdana" w:hAnsi="Verdana"/>
    </w:rPr>
  </w:style>
  <w:style w:styleId="ListBullet" w:type="paragraph">
    <w:name w:val="List Bullet"/>
    <w:aliases w:val="List Bullet CDC"/>
    <w:basedOn w:val="Normal"/>
    <w:link w:val="ListBulletChar"/>
    <w:rsid w:val="00927F50"/>
    <w:pPr>
      <w:numPr>
        <w:numId w:val="2"/>
      </w:numPr>
      <w:contextualSpacing/>
    </w:pPr>
    <w:rPr>
      <w:rFonts w:ascii="Verdana" w:hAnsi="Verdana"/>
    </w:rPr>
  </w:style>
  <w:style w:styleId="Signature" w:type="paragraph">
    <w:name w:val="Signature"/>
    <w:basedOn w:val="Normal"/>
    <w:link w:val="SignatureChar"/>
    <w:rsid w:val="00833BF6"/>
    <w:pPr>
      <w:spacing w:after="0"/>
      <w:ind w:left="4320"/>
    </w:pPr>
  </w:style>
  <w:style w:customStyle="1" w:styleId="SignatureChar" w:type="character">
    <w:name w:val="Signature Char"/>
    <w:basedOn w:val="DefaultParagraphFont"/>
    <w:link w:val="Signature"/>
    <w:rsid w:val="00833BF6"/>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TableNormal0" w:type="table">
    <w:name w:val="TableNormal"/>
    <w:basedOn w:val="TableNormal"/>
    <w:uiPriority w:val="99"/>
    <w:rsid w:val="00F75AC8"/>
    <w:pPr>
      <w:spacing w:after="0"/>
    </w:pPr>
    <w:rPr>
      <w:rFonts w:ascii="Verdana" w:eastAsiaTheme="minorEastAsia" w:hAnsi="Verdana"/>
    </w:rPr>
    <w:tblPr>
      <w:tblStyleRowBandSize w:val="1"/>
      <w:tblBorders>
        <w:top w:color="auto" w:space="0" w:sz="4" w:val="single"/>
        <w:left w:color="auto" w:space="0" w:sz="4" w:val="single"/>
        <w:bottom w:color="auto" w:space="0" w:sz="4" w:val="single"/>
        <w:right w:color="auto" w:space="0" w:sz="4" w:val="single"/>
      </w:tblBorders>
    </w:tblPr>
    <w:tblStylePr w:type="firstRow">
      <w:rPr>
        <w:rFonts w:ascii="Consolas" w:hAnsi="Consolas"/>
        <w:b/>
        <w:sz w:val="24"/>
      </w:rPr>
      <w:tblPr/>
      <w:tcPr>
        <w:shd w:color="auto" w:fill="A6A6A6" w:themeFill="background1" w:themeFillShade="A6" w:val="clear"/>
      </w:tcPr>
    </w:tblStylePr>
    <w:tblStylePr w:type="firstCol">
      <w:rPr>
        <w:i w:val="0"/>
      </w:rPr>
    </w:tblStylePr>
    <w:tblStylePr w:type="band1Horz">
      <w:rPr>
        <w:rFonts w:ascii="Consolas" w:hAnsi="Consolas"/>
        <w:sz w:val="22"/>
      </w:rPr>
    </w:tblStylePr>
    <w:tblStylePr w:type="band2Horz">
      <w:rPr>
        <w:rFonts w:ascii="Consolas" w:hAnsi="Consolas"/>
        <w:sz w:val="22"/>
      </w:rPr>
      <w:tblPr/>
      <w:tcPr>
        <w:shd w:color="auto" w:fill="D9D9D9" w:themeFill="background1" w:themeFillShade="D9" w:val="clear"/>
      </w:tcPr>
    </w:tblStylePr>
  </w:style>
  <w:style w:customStyle="1" w:styleId="Intro-PageBreak" w:type="paragraph">
    <w:name w:val="Intro-PageBreak"/>
    <w:basedOn w:val="Heading1"/>
    <w:link w:val="Intro-PageBreakChar"/>
    <w:qFormat/>
    <w:rsid w:val="00CA403D"/>
    <w:pPr>
      <w:pageBreakBefore/>
    </w:pPr>
  </w:style>
  <w:style w:customStyle="1" w:styleId="Heading1Char" w:type="character">
    <w:name w:val="Heading 1 Char"/>
    <w:basedOn w:val="DefaultParagraphFont"/>
    <w:link w:val="Heading1"/>
    <w:uiPriority w:val="9"/>
    <w:rsid w:val="00CA403D"/>
    <w:rPr>
      <w:rFonts w:ascii="Verdana" w:cstheme="majorBidi" w:eastAsiaTheme="majorEastAsia" w:hAnsi="Verdana"/>
      <w:b/>
      <w:bCs/>
      <w:sz w:val="32"/>
      <w:szCs w:val="32"/>
    </w:rPr>
  </w:style>
  <w:style w:customStyle="1" w:styleId="Intro-PageBreakChar" w:type="character">
    <w:name w:val="Intro-PageBreak Char"/>
    <w:basedOn w:val="Heading1Char"/>
    <w:link w:val="Intro-PageBreak"/>
    <w:rsid w:val="00CA403D"/>
    <w:rPr>
      <w:rFonts w:ascii="Verdana" w:cstheme="majorBidi" w:eastAsiaTheme="majorEastAsia" w:hAnsi="Verdana"/>
      <w:b/>
      <w:bCs/>
      <w:sz w:val="32"/>
      <w:szCs w:val="32"/>
    </w:rPr>
  </w:style>
  <w:style w:customStyle="1" w:styleId="CDC-Bullet" w:type="paragraph">
    <w:name w:val="CDC-Bullet"/>
    <w:basedOn w:val="ListBullet"/>
    <w:link w:val="CDC-BulletChar"/>
    <w:qFormat/>
    <w:rsid w:val="00CA403D"/>
  </w:style>
  <w:style w:customStyle="1" w:styleId="ListBulletChar" w:type="character">
    <w:name w:val="List Bullet Char"/>
    <w:aliases w:val="List Bullet CDC Char"/>
    <w:basedOn w:val="DefaultParagraphFont"/>
    <w:link w:val="ListBullet"/>
    <w:rsid w:val="00CA403D"/>
    <w:rPr>
      <w:rFonts w:ascii="Verdana" w:hAnsi="Verdana"/>
    </w:rPr>
  </w:style>
  <w:style w:customStyle="1" w:styleId="CDC-BulletChar" w:type="character">
    <w:name w:val="CDC-Bullet Char"/>
    <w:basedOn w:val="ListBulletChar"/>
    <w:link w:val="CDC-Bullet"/>
    <w:rsid w:val="00CA403D"/>
    <w:rPr>
      <w:rFonts w:ascii="Verdana" w:hAnsi="Verdana"/>
    </w:rPr>
  </w:style>
  <w:style w:styleId="UnresolvedMention" w:type="character">
    <w:name w:val="Unresolved Mention"/>
    <w:basedOn w:val="DefaultParagraphFont"/>
    <w:uiPriority w:val="99"/>
    <w:semiHidden/>
    <w:unhideWhenUsed/>
    <w:rsid w:val="009A2FDD"/>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2" Type="http://schemas.openxmlformats.org/officeDocument/2006/relationships/hyperlink" Target="https://crimede-coder.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Example Dallas PD Standardized Report</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 and Calibration Plots — All Property Crime Models</dc:title>
  <dc:creator>Marc Olson</dc:creator>
  <cp:keywords/>
  <dcterms:created xsi:type="dcterms:W3CDTF">2026-03-05T21:48:31Z</dcterms:created>
  <dcterms:modified xsi:type="dcterms:W3CDTF">2026-03-05T21:48:31Z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2026-03-05</vt:lpwstr>
  </property>
  <property fmtid="{D5CDD505-2E9C-101B-9397-08002B2CF9AE}" pid="6" name="date-format">
    <vt:lpwstr>YYYY-MM-DD</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