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48.png" ContentType="image/png"/>
  <Override PartName="/word/media/rId63.png" ContentType="image/png"/>
  <Override PartName="/word/media/rId54.png" ContentType="image/png"/>
  <Override PartName="/word/media/rId58.png" ContentType="image/png"/>
  <Override PartName="/word/media/rId3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Drawing</w:t>
      </w:r>
      <w:r>
        <w:t xml:space="preserve"> </w:t>
      </w:r>
      <w:r>
        <w:t xml:space="preserve">contiguous</w:t>
      </w:r>
      <w:r>
        <w:t xml:space="preserve"> </w:t>
      </w:r>
      <w:r>
        <w:t xml:space="preserve">control</w:t>
      </w:r>
      <w:r>
        <w:t xml:space="preserve"> </w:t>
      </w:r>
      <w:r>
        <w:t xml:space="preserve">areas</w:t>
      </w:r>
      <w:r>
        <w:t xml:space="preserve"> </w:t>
      </w:r>
      <w:r>
        <w:t xml:space="preserve">for</w:t>
      </w:r>
      <w:r>
        <w:t xml:space="preserve"> </w:t>
      </w:r>
      <w:r>
        <w:t xml:space="preserve">the</w:t>
      </w:r>
      <w:r>
        <w:t xml:space="preserve"> </w:t>
      </w:r>
      <w:r>
        <w:t xml:space="preserve">weighted</w:t>
      </w:r>
      <w:r>
        <w:t xml:space="preserve"> </w:t>
      </w:r>
      <w:r>
        <w:t xml:space="preserve">displacement</w:t>
      </w:r>
      <w:r>
        <w:t xml:space="preserve"> </w:t>
      </w:r>
      <w:r>
        <w:t xml:space="preserve">difference</w:t>
      </w:r>
      <w:r>
        <w:t xml:space="preserve"> </w:t>
      </w:r>
      <w:r>
        <w:t xml:space="preserve">test</w:t>
      </w:r>
    </w:p>
    <w:p>
      <w:pPr>
        <w:pStyle w:val="Author"/>
      </w:pPr>
      <w:r>
        <w:t xml:space="preserve">Andrew</w:t>
      </w:r>
      <w:r>
        <w:t xml:space="preserve"> </w:t>
      </w:r>
      <w:r>
        <w:t xml:space="preserve">P.</w:t>
      </w:r>
      <w:r>
        <w:t xml:space="preserve"> </w:t>
      </w:r>
      <w:r>
        <w:t xml:space="preserve">Wheeler</w:t>
      </w:r>
    </w:p>
    <w:p>
      <w:pPr>
        <w:pStyle w:val="AbstractTitle"/>
      </w:pPr>
      <w:r>
        <w:t xml:space="preserve">Abstract</w:t>
      </w:r>
    </w:p>
    <w:p>
      <w:pPr>
        <w:pStyle w:val="Abstract"/>
      </w:pPr>
      <w:r>
        <w:t xml:space="preserve">The</w:t>
      </w:r>
      <w:r>
        <w:t xml:space="preserve"> </w:t>
      </w:r>
      <w:r>
        <w:t xml:space="preserve">weighted</w:t>
      </w:r>
      <w:r>
        <w:t xml:space="preserve"> </w:t>
      </w:r>
      <w:r>
        <w:t xml:space="preserve">displacement</w:t>
      </w:r>
      <w:r>
        <w:t xml:space="preserve"> </w:t>
      </w:r>
      <w:r>
        <w:t xml:space="preserve">difference</w:t>
      </w:r>
      <w:r>
        <w:t xml:space="preserve"> </w:t>
      </w:r>
      <w:r>
        <w:t xml:space="preserve">(WDD)</w:t>
      </w:r>
      <w:r>
        <w:t xml:space="preserve"> </w:t>
      </w:r>
      <w:r>
        <w:t xml:space="preserve">test</w:t>
      </w:r>
      <w:r>
        <w:t xml:space="preserve"> </w:t>
      </w:r>
      <w:r>
        <w:t xml:space="preserve">compares</w:t>
      </w:r>
      <w:r>
        <w:t xml:space="preserve"> </w:t>
      </w:r>
      <w:r>
        <w:t xml:space="preserve">the</w:t>
      </w:r>
      <w:r>
        <w:t xml:space="preserve"> </w:t>
      </w:r>
      <w:r>
        <w:t xml:space="preserve">change</w:t>
      </w:r>
      <w:r>
        <w:t xml:space="preserve"> </w:t>
      </w:r>
      <w:r>
        <w:t xml:space="preserve">in</w:t>
      </w:r>
      <w:r>
        <w:t xml:space="preserve"> </w:t>
      </w:r>
      <w:r>
        <w:t xml:space="preserve">crime</w:t>
      </w:r>
      <w:r>
        <w:t xml:space="preserve"> </w:t>
      </w:r>
      <w:r>
        <w:t xml:space="preserve">in</w:t>
      </w:r>
      <w:r>
        <w:t xml:space="preserve"> </w:t>
      </w:r>
      <w:r>
        <w:t xml:space="preserve">an</w:t>
      </w:r>
      <w:r>
        <w:t xml:space="preserve"> </w:t>
      </w:r>
      <w:r>
        <w:t xml:space="preserve">area</w:t>
      </w:r>
      <w:r>
        <w:t xml:space="preserve"> </w:t>
      </w:r>
      <w:r>
        <w:t xml:space="preserve">that</w:t>
      </w:r>
      <w:r>
        <w:t xml:space="preserve"> </w:t>
      </w:r>
      <w:r>
        <w:t xml:space="preserve">received</w:t>
      </w:r>
      <w:r>
        <w:t xml:space="preserve"> </w:t>
      </w:r>
      <w:r>
        <w:t xml:space="preserve">an</w:t>
      </w:r>
      <w:r>
        <w:t xml:space="preserve"> </w:t>
      </w:r>
      <w:r>
        <w:t xml:space="preserve">intervention</w:t>
      </w:r>
      <w:r>
        <w:t xml:space="preserve"> </w:t>
      </w:r>
      <w:r>
        <w:t xml:space="preserve">with</w:t>
      </w:r>
      <w:r>
        <w:t xml:space="preserve"> </w:t>
      </w:r>
      <w:r>
        <w:t xml:space="preserve">the</w:t>
      </w:r>
      <w:r>
        <w:t xml:space="preserve"> </w:t>
      </w:r>
      <w:r>
        <w:t xml:space="preserve">change</w:t>
      </w:r>
      <w:r>
        <w:t xml:space="preserve"> </w:t>
      </w:r>
      <w:r>
        <w:t xml:space="preserve">in</w:t>
      </w:r>
      <w:r>
        <w:t xml:space="preserve"> </w:t>
      </w:r>
      <w:r>
        <w:t xml:space="preserve">a</w:t>
      </w:r>
      <w:r>
        <w:t xml:space="preserve"> </w:t>
      </w:r>
      <w:r>
        <w:t xml:space="preserve">control</w:t>
      </w:r>
      <w:r>
        <w:t xml:space="preserve"> </w:t>
      </w:r>
      <w:r>
        <w:t xml:space="preserve">area,</w:t>
      </w:r>
      <w:r>
        <w:t xml:space="preserve"> </w:t>
      </w:r>
      <w:r>
        <w:t xml:space="preserve">which</w:t>
      </w:r>
      <w:r>
        <w:t xml:space="preserve"> </w:t>
      </w:r>
      <w:r>
        <w:t xml:space="preserve">analysts</w:t>
      </w:r>
      <w:r>
        <w:t xml:space="preserve"> </w:t>
      </w:r>
      <w:r>
        <w:t xml:space="preserve">usually</w:t>
      </w:r>
      <w:r>
        <w:t xml:space="preserve"> </w:t>
      </w:r>
      <w:r>
        <w:t xml:space="preserve">draw</w:t>
      </w:r>
      <w:r>
        <w:t xml:space="preserve"> </w:t>
      </w:r>
      <w:r>
        <w:t xml:space="preserve">by</w:t>
      </w:r>
      <w:r>
        <w:t xml:space="preserve"> </w:t>
      </w:r>
      <w:r>
        <w:t xml:space="preserve">eye.</w:t>
      </w:r>
      <w:r>
        <w:t xml:space="preserve"> </w:t>
      </w:r>
      <w:r>
        <w:t xml:space="preserve">Synthetic</w:t>
      </w:r>
      <w:r>
        <w:t xml:space="preserve"> </w:t>
      </w:r>
      <w:r>
        <w:t xml:space="preserve">control</w:t>
      </w:r>
      <w:r>
        <w:t xml:space="preserve"> </w:t>
      </w:r>
      <w:r>
        <w:t xml:space="preserve">methods</w:t>
      </w:r>
      <w:r>
        <w:t xml:space="preserve"> </w:t>
      </w:r>
      <w:r>
        <w:t xml:space="preserve">pick</w:t>
      </w:r>
      <w:r>
        <w:t xml:space="preserve"> </w:t>
      </w:r>
      <w:r>
        <w:t xml:space="preserve">controls</w:t>
      </w:r>
      <w:r>
        <w:t xml:space="preserve"> </w:t>
      </w:r>
      <w:r>
        <w:t xml:space="preserve">that</w:t>
      </w:r>
      <w:r>
        <w:t xml:space="preserve"> </w:t>
      </w:r>
      <w:r>
        <w:t xml:space="preserve">track</w:t>
      </w:r>
      <w:r>
        <w:t xml:space="preserve"> </w:t>
      </w:r>
      <w:r>
        <w:t xml:space="preserve">the</w:t>
      </w:r>
      <w:r>
        <w:t xml:space="preserve"> </w:t>
      </w:r>
      <w:r>
        <w:t xml:space="preserve">treated</w:t>
      </w:r>
      <w:r>
        <w:t xml:space="preserve"> </w:t>
      </w:r>
      <w:r>
        <w:t xml:space="preserve">area</w:t>
      </w:r>
      <w:r>
        <w:t xml:space="preserve"> </w:t>
      </w:r>
      <w:r>
        <w:t xml:space="preserve">before</w:t>
      </w:r>
      <w:r>
        <w:t xml:space="preserve"> </w:t>
      </w:r>
      <w:r>
        <w:t xml:space="preserve">the</w:t>
      </w:r>
      <w:r>
        <w:t xml:space="preserve"> </w:t>
      </w:r>
      <w:r>
        <w:t xml:space="preserve">intervention,</w:t>
      </w:r>
      <w:r>
        <w:t xml:space="preserve"> </w:t>
      </w:r>
      <w:r>
        <w:t xml:space="preserve">but</w:t>
      </w:r>
      <w:r>
        <w:t xml:space="preserve"> </w:t>
      </w:r>
      <w:r>
        <w:t xml:space="preserve">microsynth’s</w:t>
      </w:r>
      <w:r>
        <w:t xml:space="preserve"> </w:t>
      </w:r>
      <w:r>
        <w:t xml:space="preserve">calibration</w:t>
      </w:r>
      <w:r>
        <w:t xml:space="preserve"> </w:t>
      </w:r>
      <w:r>
        <w:t xml:space="preserve">weights</w:t>
      </w:r>
      <w:r>
        <w:t xml:space="preserve"> </w:t>
      </w:r>
      <w:r>
        <w:t xml:space="preserve">spread</w:t>
      </w:r>
      <w:r>
        <w:t xml:space="preserve"> </w:t>
      </w:r>
      <w:r>
        <w:t xml:space="preserve">over</w:t>
      </w:r>
      <w:r>
        <w:t xml:space="preserve"> </w:t>
      </w:r>
      <w:r>
        <w:t xml:space="preserve">thousands</w:t>
      </w:r>
      <w:r>
        <w:t xml:space="preserve"> </w:t>
      </w:r>
      <w:r>
        <w:t xml:space="preserve">of</w:t>
      </w:r>
      <w:r>
        <w:t xml:space="preserve"> </w:t>
      </w:r>
      <w:r>
        <w:t xml:space="preserve">small</w:t>
      </w:r>
      <w:r>
        <w:t xml:space="preserve"> </w:t>
      </w:r>
      <w:r>
        <w:t xml:space="preserve">areas</w:t>
      </w:r>
      <w:r>
        <w:t xml:space="preserve"> </w:t>
      </w:r>
      <w:r>
        <w:t xml:space="preserve">that</w:t>
      </w:r>
      <w:r>
        <w:t xml:space="preserve"> </w:t>
      </w:r>
      <w:r>
        <w:t xml:space="preserve">cannot</w:t>
      </w:r>
      <w:r>
        <w:t xml:space="preserve"> </w:t>
      </w:r>
      <w:r>
        <w:t xml:space="preserve">be</w:t>
      </w:r>
      <w:r>
        <w:t xml:space="preserve"> </w:t>
      </w:r>
      <w:r>
        <w:t xml:space="preserve">shown</w:t>
      </w:r>
      <w:r>
        <w:t xml:space="preserve"> </w:t>
      </w:r>
      <w:r>
        <w:t xml:space="preserve">as</w:t>
      </w:r>
      <w:r>
        <w:t xml:space="preserve"> </w:t>
      </w:r>
      <w:r>
        <w:t xml:space="preserve">a</w:t>
      </w:r>
      <w:r>
        <w:t xml:space="preserve"> </w:t>
      </w:r>
      <w:r>
        <w:t xml:space="preserve">place.</w:t>
      </w:r>
      <w:r>
        <w:t xml:space="preserve"> </w:t>
      </w:r>
      <w:r>
        <w:t xml:space="preserve">I</w:t>
      </w:r>
      <w:r>
        <w:t xml:space="preserve"> </w:t>
      </w:r>
      <w:r>
        <w:t xml:space="preserve">describe</w:t>
      </w:r>
      <w:r>
        <w:t xml:space="preserve"> </w:t>
      </w:r>
      <w:r>
        <w:t xml:space="preserve">a</w:t>
      </w:r>
      <w:r>
        <w:t xml:space="preserve"> </w:t>
      </w:r>
      <w:r>
        <w:t xml:space="preserve">method</w:t>
      </w:r>
      <w:r>
        <w:t xml:space="preserve"> </w:t>
      </w:r>
      <w:r>
        <w:t xml:space="preserve">that</w:t>
      </w:r>
      <w:r>
        <w:t xml:space="preserve"> </w:t>
      </w:r>
      <w:r>
        <w:t xml:space="preserve">draws</w:t>
      </w:r>
      <w:r>
        <w:t xml:space="preserve"> </w:t>
      </w:r>
      <w:r>
        <w:t xml:space="preserve">a</w:t>
      </w:r>
      <w:r>
        <w:t xml:space="preserve"> </w:t>
      </w:r>
      <w:r>
        <w:t xml:space="preserve">single,</w:t>
      </w:r>
      <w:r>
        <w:t xml:space="preserve"> </w:t>
      </w:r>
      <w:r>
        <w:t xml:space="preserve">contiguous</w:t>
      </w:r>
      <w:r>
        <w:t xml:space="preserve"> </w:t>
      </w:r>
      <w:r>
        <w:t xml:space="preserve">control</w:t>
      </w:r>
      <w:r>
        <w:t xml:space="preserve"> </w:t>
      </w:r>
      <w:r>
        <w:t xml:space="preserve">area</w:t>
      </w:r>
      <w:r>
        <w:t xml:space="preserve"> </w:t>
      </w:r>
      <w:r>
        <w:t xml:space="preserve">with</w:t>
      </w:r>
      <w:r>
        <w:t xml:space="preserve"> </w:t>
      </w:r>
      <w:r>
        <w:t xml:space="preserve">no</w:t>
      </w:r>
      <w:r>
        <w:t xml:space="preserve"> </w:t>
      </w:r>
      <w:r>
        <w:t xml:space="preserve">weights</w:t>
      </w:r>
      <w:r>
        <w:t xml:space="preserve"> </w:t>
      </w:r>
      <w:r>
        <w:t xml:space="preserve">whose</w:t>
      </w:r>
      <w:r>
        <w:t xml:space="preserve"> </w:t>
      </w:r>
      <w:r>
        <w:t xml:space="preserve">monthly</w:t>
      </w:r>
      <w:r>
        <w:t xml:space="preserve"> </w:t>
      </w:r>
      <w:r>
        <w:t xml:space="preserve">crime</w:t>
      </w:r>
      <w:r>
        <w:t xml:space="preserve"> </w:t>
      </w:r>
      <w:r>
        <w:t xml:space="preserve">before</w:t>
      </w:r>
      <w:r>
        <w:t xml:space="preserve"> </w:t>
      </w:r>
      <w:r>
        <w:t xml:space="preserve">the</w:t>
      </w:r>
      <w:r>
        <w:t xml:space="preserve"> </w:t>
      </w:r>
      <w:r>
        <w:t xml:space="preserve">intervention</w:t>
      </w:r>
      <w:r>
        <w:t xml:space="preserve"> </w:t>
      </w:r>
      <w:r>
        <w:t xml:space="preserve">is</w:t>
      </w:r>
      <w:r>
        <w:t xml:space="preserve"> </w:t>
      </w:r>
      <w:r>
        <w:t xml:space="preserve">statistically</w:t>
      </w:r>
      <w:r>
        <w:t xml:space="preserve"> </w:t>
      </w:r>
      <w:r>
        <w:t xml:space="preserve">indistinguishable</w:t>
      </w:r>
      <w:r>
        <w:t xml:space="preserve"> </w:t>
      </w:r>
      <w:r>
        <w:t xml:space="preserve">from</w:t>
      </w:r>
      <w:r>
        <w:t xml:space="preserve"> </w:t>
      </w:r>
      <w:r>
        <w:t xml:space="preserve">the</w:t>
      </w:r>
      <w:r>
        <w:t xml:space="preserve"> </w:t>
      </w:r>
      <w:r>
        <w:t xml:space="preserve">treated</w:t>
      </w:r>
      <w:r>
        <w:t xml:space="preserve"> </w:t>
      </w:r>
      <w:r>
        <w:t xml:space="preserve">area’s,</w:t>
      </w:r>
      <w:r>
        <w:t xml:space="preserve"> </w:t>
      </w:r>
      <w:r>
        <w:t xml:space="preserve">month</w:t>
      </w:r>
      <w:r>
        <w:t xml:space="preserve"> </w:t>
      </w:r>
      <w:r>
        <w:t xml:space="preserve">to</w:t>
      </w:r>
      <w:r>
        <w:t xml:space="preserve"> </w:t>
      </w:r>
      <w:r>
        <w:t xml:space="preserve">month,</w:t>
      </w:r>
      <w:r>
        <w:t xml:space="preserve"> </w:t>
      </w:r>
      <w:r>
        <w:t xml:space="preserve">over</w:t>
      </w:r>
      <w:r>
        <w:t xml:space="preserve"> </w:t>
      </w:r>
      <w:r>
        <w:t xml:space="preserve">six-month</w:t>
      </w:r>
      <w:r>
        <w:t xml:space="preserve"> </w:t>
      </w:r>
      <w:r>
        <w:t xml:space="preserve">stretches,</w:t>
      </w:r>
      <w:r>
        <w:t xml:space="preserve"> </w:t>
      </w:r>
      <w:r>
        <w:t xml:space="preserve">and</w:t>
      </w:r>
      <w:r>
        <w:t xml:space="preserve"> </w:t>
      </w:r>
      <w:r>
        <w:t xml:space="preserve">in</w:t>
      </w:r>
      <w:r>
        <w:t xml:space="preserve"> </w:t>
      </w:r>
      <w:r>
        <w:t xml:space="preserve">level</w:t>
      </w:r>
      <w:r>
        <w:t xml:space="preserve"> </w:t>
      </w:r>
      <w:r>
        <w:t xml:space="preserve">and</w:t>
      </w:r>
      <w:r>
        <w:t xml:space="preserve"> </w:t>
      </w:r>
      <w:r>
        <w:t xml:space="preserve">trend,</w:t>
      </w:r>
      <w:r>
        <w:t xml:space="preserve"> </w:t>
      </w:r>
      <w:r>
        <w:t xml:space="preserve">judged</w:t>
      </w:r>
      <w:r>
        <w:t xml:space="preserve"> </w:t>
      </w:r>
      <w:r>
        <w:t xml:space="preserve">against</w:t>
      </w:r>
      <w:r>
        <w:t xml:space="preserve"> </w:t>
      </w:r>
      <w:r>
        <w:t xml:space="preserve">quasi-Poisson</w:t>
      </w:r>
      <w:r>
        <w:t xml:space="preserve"> </w:t>
      </w:r>
      <w:r>
        <w:t xml:space="preserve">noise.</w:t>
      </w:r>
      <w:r>
        <w:t xml:space="preserve"> </w:t>
      </w:r>
      <w:r>
        <w:t xml:space="preserve">A</w:t>
      </w:r>
      <w:r>
        <w:t xml:space="preserve"> </w:t>
      </w:r>
      <w:r>
        <w:t xml:space="preserve">network</w:t>
      </w:r>
      <w:r>
        <w:t xml:space="preserve"> </w:t>
      </w:r>
      <w:r>
        <w:t xml:space="preserve">scan</w:t>
      </w:r>
      <w:r>
        <w:t xml:space="preserve"> </w:t>
      </w:r>
      <w:r>
        <w:t xml:space="preserve">grows</w:t>
      </w:r>
      <w:r>
        <w:t xml:space="preserve"> </w:t>
      </w:r>
      <w:r>
        <w:t xml:space="preserve">candidate</w:t>
      </w:r>
      <w:r>
        <w:t xml:space="preserve"> </w:t>
      </w:r>
      <w:r>
        <w:t xml:space="preserve">areas</w:t>
      </w:r>
      <w:r>
        <w:t xml:space="preserve"> </w:t>
      </w:r>
      <w:r>
        <w:t xml:space="preserve">from</w:t>
      </w:r>
      <w:r>
        <w:t xml:space="preserve"> </w:t>
      </w:r>
      <w:r>
        <w:t xml:space="preserve">many</w:t>
      </w:r>
      <w:r>
        <w:t xml:space="preserve"> </w:t>
      </w:r>
      <w:r>
        <w:t xml:space="preserve">centers</w:t>
      </w:r>
      <w:r>
        <w:t xml:space="preserve"> </w:t>
      </w:r>
      <w:r>
        <w:t xml:space="preserve">through</w:t>
      </w:r>
      <w:r>
        <w:t xml:space="preserve"> </w:t>
      </w:r>
      <w:r>
        <w:t xml:space="preserve">the</w:t>
      </w:r>
      <w:r>
        <w:t xml:space="preserve"> </w:t>
      </w:r>
      <w:r>
        <w:t xml:space="preserve">census</w:t>
      </w:r>
      <w:r>
        <w:t xml:space="preserve"> </w:t>
      </w:r>
      <w:r>
        <w:t xml:space="preserve">block</w:t>
      </w:r>
      <w:r>
        <w:t xml:space="preserve"> </w:t>
      </w:r>
      <w:r>
        <w:t xml:space="preserve">adjacency</w:t>
      </w:r>
      <w:r>
        <w:t xml:space="preserve"> </w:t>
      </w:r>
      <w:r>
        <w:t xml:space="preserve">graph,</w:t>
      </w:r>
      <w:r>
        <w:t xml:space="preserve"> </w:t>
      </w:r>
      <w:r>
        <w:t xml:space="preserve">and</w:t>
      </w:r>
      <w:r>
        <w:t xml:space="preserve"> </w:t>
      </w:r>
      <w:r>
        <w:t xml:space="preserve">a</w:t>
      </w:r>
      <w:r>
        <w:t xml:space="preserve"> </w:t>
      </w:r>
      <w:r>
        <w:t xml:space="preserve">small</w:t>
      </w:r>
      <w:r>
        <w:t xml:space="preserve"> </w:t>
      </w:r>
      <w:r>
        <w:t xml:space="preserve">integer</w:t>
      </w:r>
      <w:r>
        <w:t xml:space="preserve"> </w:t>
      </w:r>
      <w:r>
        <w:t xml:space="preserve">program</w:t>
      </w:r>
      <w:r>
        <w:t xml:space="preserve"> </w:t>
      </w:r>
      <w:r>
        <w:t xml:space="preserve">in</w:t>
      </w:r>
      <w:r>
        <w:t xml:space="preserve"> </w:t>
      </w:r>
      <w:r>
        <w:t xml:space="preserve">each</w:t>
      </w:r>
      <w:r>
        <w:t xml:space="preserve"> </w:t>
      </w:r>
      <w:r>
        <w:t xml:space="preserve">scan</w:t>
      </w:r>
      <w:r>
        <w:t xml:space="preserve"> </w:t>
      </w:r>
      <w:r>
        <w:t xml:space="preserve">window</w:t>
      </w:r>
      <w:r>
        <w:t xml:space="preserve"> </w:t>
      </w:r>
      <w:r>
        <w:t xml:space="preserve">chooses</w:t>
      </w:r>
      <w:r>
        <w:t xml:space="preserve"> </w:t>
      </w:r>
      <w:r>
        <w:t xml:space="preserve">the</w:t>
      </w:r>
      <w:r>
        <w:t xml:space="preserve"> </w:t>
      </w:r>
      <w:r>
        <w:t xml:space="preserve">blocks,</w:t>
      </w:r>
      <w:r>
        <w:t xml:space="preserve"> </w:t>
      </w:r>
      <w:r>
        <w:t xml:space="preserve">with</w:t>
      </w:r>
      <w:r>
        <w:t xml:space="preserve"> </w:t>
      </w:r>
      <w:r>
        <w:t xml:space="preserve">a</w:t>
      </w:r>
      <w:r>
        <w:t xml:space="preserve"> </w:t>
      </w:r>
      <w:r>
        <w:t xml:space="preserve">constraint</w:t>
      </w:r>
      <w:r>
        <w:t xml:space="preserve"> </w:t>
      </w:r>
      <w:r>
        <w:t xml:space="preserve">that</w:t>
      </w:r>
      <w:r>
        <w:t xml:space="preserve"> </w:t>
      </w:r>
      <w:r>
        <w:t xml:space="preserve">each</w:t>
      </w:r>
      <w:r>
        <w:t xml:space="preserve"> </w:t>
      </w:r>
      <w:r>
        <w:t xml:space="preserve">selected</w:t>
      </w:r>
      <w:r>
        <w:t xml:space="preserve"> </w:t>
      </w:r>
      <w:r>
        <w:t xml:space="preserve">block</w:t>
      </w:r>
      <w:r>
        <w:t xml:space="preserve"> </w:t>
      </w:r>
      <w:r>
        <w:t xml:space="preserve">border</w:t>
      </w:r>
      <w:r>
        <w:t xml:space="preserve"> </w:t>
      </w:r>
      <w:r>
        <w:t xml:space="preserve">one</w:t>
      </w:r>
      <w:r>
        <w:t xml:space="preserve"> </w:t>
      </w:r>
      <w:r>
        <w:t xml:space="preserve">closer</w:t>
      </w:r>
      <w:r>
        <w:t xml:space="preserve"> </w:t>
      </w:r>
      <w:r>
        <w:t xml:space="preserve">to</w:t>
      </w:r>
      <w:r>
        <w:t xml:space="preserve"> </w:t>
      </w:r>
      <w:r>
        <w:t xml:space="preserve">the</w:t>
      </w:r>
      <w:r>
        <w:t xml:space="preserve"> </w:t>
      </w:r>
      <w:r>
        <w:t xml:space="preserve">window’s</w:t>
      </w:r>
      <w:r>
        <w:t xml:space="preserve"> </w:t>
      </w:r>
      <w:r>
        <w:t xml:space="preserve">center</w:t>
      </w:r>
      <w:r>
        <w:t xml:space="preserve"> </w:t>
      </w:r>
      <w:r>
        <w:t xml:space="preserve">guaranteeing</w:t>
      </w:r>
      <w:r>
        <w:t xml:space="preserve"> </w:t>
      </w:r>
      <w:r>
        <w:t xml:space="preserve">a</w:t>
      </w:r>
      <w:r>
        <w:t xml:space="preserve"> </w:t>
      </w:r>
      <w:r>
        <w:t xml:space="preserve">connected,</w:t>
      </w:r>
      <w:r>
        <w:t xml:space="preserve"> </w:t>
      </w:r>
      <w:r>
        <w:t xml:space="preserve">compact</w:t>
      </w:r>
      <w:r>
        <w:t xml:space="preserve"> </w:t>
      </w:r>
      <w:r>
        <w:t xml:space="preserve">area;</w:t>
      </w:r>
      <w:r>
        <w:t xml:space="preserve"> </w:t>
      </w:r>
      <w:r>
        <w:t xml:space="preserve">the</w:t>
      </w:r>
      <w:r>
        <w:t xml:space="preserve"> </w:t>
      </w:r>
      <w:r>
        <w:t xml:space="preserve">nearest</w:t>
      </w:r>
      <w:r>
        <w:t xml:space="preserve"> </w:t>
      </w:r>
      <w:r>
        <w:t xml:space="preserve">passing</w:t>
      </w:r>
      <w:r>
        <w:t xml:space="preserve"> </w:t>
      </w:r>
      <w:r>
        <w:t xml:space="preserve">area</w:t>
      </w:r>
      <w:r>
        <w:t xml:space="preserve"> </w:t>
      </w:r>
      <w:r>
        <w:t xml:space="preserve">is</w:t>
      </w:r>
      <w:r>
        <w:t xml:space="preserve"> </w:t>
      </w:r>
      <w:r>
        <w:t xml:space="preserve">chosen.</w:t>
      </w:r>
      <w:r>
        <w:t xml:space="preserve"> </w:t>
      </w:r>
      <w:r>
        <w:t xml:space="preserve">Searches</w:t>
      </w:r>
      <w:r>
        <w:t xml:space="preserve"> </w:t>
      </w:r>
      <w:r>
        <w:t xml:space="preserve">take</w:t>
      </w:r>
      <w:r>
        <w:t xml:space="preserve"> </w:t>
      </w:r>
      <w:r>
        <w:t xml:space="preserve">two</w:t>
      </w:r>
      <w:r>
        <w:t xml:space="preserve"> </w:t>
      </w:r>
      <w:r>
        <w:t xml:space="preserve">to</w:t>
      </w:r>
      <w:r>
        <w:t xml:space="preserve"> </w:t>
      </w:r>
      <w:r>
        <w:t xml:space="preserve">four</w:t>
      </w:r>
      <w:r>
        <w:t xml:space="preserve"> </w:t>
      </w:r>
      <w:r>
        <w:t xml:space="preserve">minutes</w:t>
      </w:r>
      <w:r>
        <w:t xml:space="preserve"> </w:t>
      </w:r>
      <w:r>
        <w:t xml:space="preserve">for</w:t>
      </w:r>
      <w:r>
        <w:t xml:space="preserve"> </w:t>
      </w:r>
      <w:r>
        <w:t xml:space="preserve">a</w:t>
      </w:r>
      <w:r>
        <w:t xml:space="preserve"> </w:t>
      </w:r>
      <w:r>
        <w:t xml:space="preserve">large</w:t>
      </w:r>
      <w:r>
        <w:t xml:space="preserve"> </w:t>
      </w:r>
      <w:r>
        <w:t xml:space="preserve">city.</w:t>
      </w:r>
      <w:r>
        <w:t xml:space="preserve"> </w:t>
      </w:r>
      <w:r>
        <w:t xml:space="preserve">In</w:t>
      </w:r>
      <w:r>
        <w:t xml:space="preserve"> </w:t>
      </w:r>
      <w:r>
        <w:t xml:space="preserve">simulations</w:t>
      </w:r>
      <w:r>
        <w:t xml:space="preserve"> </w:t>
      </w:r>
      <w:r>
        <w:t xml:space="preserve">where</w:t>
      </w:r>
      <w:r>
        <w:t xml:space="preserve"> </w:t>
      </w:r>
      <w:r>
        <w:t xml:space="preserve">the</w:t>
      </w:r>
      <w:r>
        <w:t xml:space="preserve"> </w:t>
      </w:r>
      <w:r>
        <w:t xml:space="preserve">treated</w:t>
      </w:r>
      <w:r>
        <w:t xml:space="preserve"> </w:t>
      </w:r>
      <w:r>
        <w:t xml:space="preserve">area’s</w:t>
      </w:r>
      <w:r>
        <w:t xml:space="preserve"> </w:t>
      </w:r>
      <w:r>
        <w:t xml:space="preserve">crime</w:t>
      </w:r>
      <w:r>
        <w:t xml:space="preserve"> </w:t>
      </w:r>
      <w:r>
        <w:t xml:space="preserve">was</w:t>
      </w:r>
      <w:r>
        <w:t xml:space="preserve"> </w:t>
      </w:r>
      <w:r>
        <w:t xml:space="preserve">rising</w:t>
      </w:r>
      <w:r>
        <w:t xml:space="preserve"> </w:t>
      </w:r>
      <w:r>
        <w:t xml:space="preserve">relative</w:t>
      </w:r>
      <w:r>
        <w:t xml:space="preserve"> </w:t>
      </w:r>
      <w:r>
        <w:t xml:space="preserve">to</w:t>
      </w:r>
      <w:r>
        <w:t xml:space="preserve"> </w:t>
      </w:r>
      <w:r>
        <w:t xml:space="preserve">its</w:t>
      </w:r>
      <w:r>
        <w:t xml:space="preserve"> </w:t>
      </w:r>
      <w:r>
        <w:t xml:space="preserve">surroundings,</w:t>
      </w:r>
      <w:r>
        <w:t xml:space="preserve"> </w:t>
      </w:r>
      <w:r>
        <w:t xml:space="preserve">a</w:t>
      </w:r>
      <w:r>
        <w:t xml:space="preserve"> </w:t>
      </w:r>
      <w:r>
        <w:t xml:space="preserve">surrounding</w:t>
      </w:r>
      <w:r>
        <w:t xml:space="preserve"> </w:t>
      </w:r>
      <w:r>
        <w:t xml:space="preserve">ring</w:t>
      </w:r>
      <w:r>
        <w:t xml:space="preserve"> </w:t>
      </w:r>
      <w:r>
        <w:t xml:space="preserve">and</w:t>
      </w:r>
      <w:r>
        <w:t xml:space="preserve"> </w:t>
      </w:r>
      <w:r>
        <w:t xml:space="preserve">the</w:t>
      </w:r>
      <w:r>
        <w:t xml:space="preserve"> </w:t>
      </w:r>
      <w:r>
        <w:t xml:space="preserve">city-wide</w:t>
      </w:r>
      <w:r>
        <w:t xml:space="preserve"> </w:t>
      </w:r>
      <w:r>
        <w:t xml:space="preserve">trend</w:t>
      </w:r>
      <w:r>
        <w:t xml:space="preserve"> </w:t>
      </w:r>
      <w:r>
        <w:t xml:space="preserve">miss</w:t>
      </w:r>
      <w:r>
        <w:t xml:space="preserve"> </w:t>
      </w:r>
      <w:r>
        <w:t xml:space="preserve">about</w:t>
      </w:r>
      <w:r>
        <w:t xml:space="preserve"> </w:t>
      </w:r>
      <w:r>
        <w:t xml:space="preserve">70%</w:t>
      </w:r>
      <w:r>
        <w:t xml:space="preserve"> </w:t>
      </w:r>
      <w:r>
        <w:t xml:space="preserve">of</w:t>
      </w:r>
      <w:r>
        <w:t xml:space="preserve"> </w:t>
      </w:r>
      <w:r>
        <w:t xml:space="preserve">the</w:t>
      </w:r>
      <w:r>
        <w:t xml:space="preserve"> </w:t>
      </w:r>
      <w:r>
        <w:t xml:space="preserve">effect,</w:t>
      </w:r>
      <w:r>
        <w:t xml:space="preserve"> </w:t>
      </w:r>
      <w:r>
        <w:t xml:space="preserve">while</w:t>
      </w:r>
      <w:r>
        <w:t xml:space="preserve"> </w:t>
      </w:r>
      <w:r>
        <w:t xml:space="preserve">the</w:t>
      </w:r>
      <w:r>
        <w:t xml:space="preserve"> </w:t>
      </w:r>
      <w:r>
        <w:t xml:space="preserve">matched</w:t>
      </w:r>
      <w:r>
        <w:t xml:space="preserve"> </w:t>
      </w:r>
      <w:r>
        <w:t xml:space="preserve">contiguous</w:t>
      </w:r>
      <w:r>
        <w:t xml:space="preserve"> </w:t>
      </w:r>
      <w:r>
        <w:t xml:space="preserve">area</w:t>
      </w:r>
      <w:r>
        <w:t xml:space="preserve"> </w:t>
      </w:r>
      <w:r>
        <w:t xml:space="preserve">misses</w:t>
      </w:r>
      <w:r>
        <w:t xml:space="preserve"> </w:t>
      </w:r>
      <w:r>
        <w:t xml:space="preserve">about</w:t>
      </w:r>
      <w:r>
        <w:t xml:space="preserve"> </w:t>
      </w:r>
      <w:r>
        <w:t xml:space="preserve">20%;</w:t>
      </w:r>
      <w:r>
        <w:t xml:space="preserve"> </w:t>
      </w:r>
      <w:r>
        <w:t xml:space="preserve">asking</w:t>
      </w:r>
      <w:r>
        <w:t xml:space="preserve"> </w:t>
      </w:r>
      <w:r>
        <w:t xml:space="preserve">for</w:t>
      </w:r>
      <w:r>
        <w:t xml:space="preserve"> </w:t>
      </w:r>
      <w:r>
        <w:t xml:space="preserve">the</w:t>
      </w:r>
      <w:r>
        <w:t xml:space="preserve"> </w:t>
      </w:r>
      <w:r>
        <w:t xml:space="preserve">best</w:t>
      </w:r>
      <w:r>
        <w:t xml:space="preserve"> </w:t>
      </w:r>
      <w:r>
        <w:t xml:space="preserve">possible</w:t>
      </w:r>
      <w:r>
        <w:t xml:space="preserve"> </w:t>
      </w:r>
      <w:r>
        <w:t xml:space="preserve">pre-period</w:t>
      </w:r>
      <w:r>
        <w:t xml:space="preserve"> </w:t>
      </w:r>
      <w:r>
        <w:t xml:space="preserve">fit,</w:t>
      </w:r>
      <w:r>
        <w:t xml:space="preserve"> </w:t>
      </w:r>
      <w:r>
        <w:t xml:space="preserve">as</w:t>
      </w:r>
      <w:r>
        <w:t xml:space="preserve"> </w:t>
      </w:r>
      <w:r>
        <w:t xml:space="preserve">the</w:t>
      </w:r>
      <w:r>
        <w:t xml:space="preserve"> </w:t>
      </w:r>
      <w:r>
        <w:t xml:space="preserve">best-fitting</w:t>
      </w:r>
      <w:r>
        <w:t xml:space="preserve"> </w:t>
      </w:r>
      <w:r>
        <w:t xml:space="preserve">area</w:t>
      </w:r>
      <w:r>
        <w:t xml:space="preserve"> </w:t>
      </w:r>
      <w:r>
        <w:t xml:space="preserve">and</w:t>
      </w:r>
      <w:r>
        <w:t xml:space="preserve"> </w:t>
      </w:r>
      <w:r>
        <w:t xml:space="preserve">microsynth’s</w:t>
      </w:r>
      <w:r>
        <w:t xml:space="preserve"> </w:t>
      </w:r>
      <w:r>
        <w:t xml:space="preserve">exact</w:t>
      </w:r>
      <w:r>
        <w:t xml:space="preserve"> </w:t>
      </w:r>
      <w:r>
        <w:t xml:space="preserve">calibration</w:t>
      </w:r>
      <w:r>
        <w:t xml:space="preserve"> </w:t>
      </w:r>
      <w:r>
        <w:t xml:space="preserve">do,</w:t>
      </w:r>
      <w:r>
        <w:t xml:space="preserve"> </w:t>
      </w:r>
      <w:r>
        <w:t xml:space="preserve">chases</w:t>
      </w:r>
      <w:r>
        <w:t xml:space="preserve"> </w:t>
      </w:r>
      <w:r>
        <w:t xml:space="preserve">noise</w:t>
      </w:r>
      <w:r>
        <w:t xml:space="preserve"> </w:t>
      </w:r>
      <w:r>
        <w:t xml:space="preserve">and</w:t>
      </w:r>
      <w:r>
        <w:t xml:space="preserve"> </w:t>
      </w:r>
      <w:r>
        <w:t xml:space="preserve">does</w:t>
      </w:r>
      <w:r>
        <w:t xml:space="preserve"> </w:t>
      </w:r>
      <w:r>
        <w:t xml:space="preserve">worse.</w:t>
      </w:r>
      <w:r>
        <w:t xml:space="preserve"> </w:t>
      </w:r>
      <w:r>
        <w:t xml:space="preserve">When</w:t>
      </w:r>
      <w:r>
        <w:t xml:space="preserve"> </w:t>
      </w:r>
      <w:r>
        <w:t xml:space="preserve">neighborhoods</w:t>
      </w:r>
      <w:r>
        <w:t xml:space="preserve"> </w:t>
      </w:r>
      <w:r>
        <w:t xml:space="preserve">share</w:t>
      </w:r>
      <w:r>
        <w:t xml:space="preserve"> </w:t>
      </w:r>
      <w:r>
        <w:t xml:space="preserve">trends,</w:t>
      </w:r>
      <w:r>
        <w:t xml:space="preserve"> </w:t>
      </w:r>
      <w:r>
        <w:t xml:space="preserve">a</w:t>
      </w:r>
      <w:r>
        <w:t xml:space="preserve"> </w:t>
      </w:r>
      <w:r>
        <w:t xml:space="preserve">ring</w:t>
      </w:r>
      <w:r>
        <w:t xml:space="preserve"> </w:t>
      </w:r>
      <w:r>
        <w:t xml:space="preserve">does</w:t>
      </w:r>
      <w:r>
        <w:t xml:space="preserve"> </w:t>
      </w:r>
      <w:r>
        <w:t xml:space="preserve">as</w:t>
      </w:r>
      <w:r>
        <w:t xml:space="preserve"> </w:t>
      </w:r>
      <w:r>
        <w:t xml:space="preserve">well.</w:t>
      </w:r>
      <w:r>
        <w:t xml:space="preserve"> </w:t>
      </w:r>
      <w:r>
        <w:t xml:space="preserve">Applied</w:t>
      </w:r>
      <w:r>
        <w:t xml:space="preserve"> </w:t>
      </w:r>
      <w:r>
        <w:t xml:space="preserve">to</w:t>
      </w:r>
      <w:r>
        <w:t xml:space="preserve"> </w:t>
      </w:r>
      <w:r>
        <w:t xml:space="preserve">a</w:t>
      </w:r>
      <w:r>
        <w:t xml:space="preserve"> </w:t>
      </w:r>
      <w:r>
        <w:t xml:space="preserve">new</w:t>
      </w:r>
      <w:r>
        <w:t xml:space="preserve"> </w:t>
      </w:r>
      <w:r>
        <w:t xml:space="preserve">public</w:t>
      </w:r>
      <w:r>
        <w:t xml:space="preserve"> </w:t>
      </w:r>
      <w:r>
        <w:t xml:space="preserve">improvement</w:t>
      </w:r>
      <w:r>
        <w:t xml:space="preserve"> </w:t>
      </w:r>
      <w:r>
        <w:t xml:space="preserve">district</w:t>
      </w:r>
      <w:r>
        <w:t xml:space="preserve"> </w:t>
      </w:r>
      <w:r>
        <w:t xml:space="preserve">in</w:t>
      </w:r>
      <w:r>
        <w:t xml:space="preserve"> </w:t>
      </w:r>
      <w:r>
        <w:t xml:space="preserve">Dallas,</w:t>
      </w:r>
      <w:r>
        <w:t xml:space="preserve"> </w:t>
      </w:r>
      <w:r>
        <w:t xml:space="preserve">Texas,</w:t>
      </w:r>
      <w:r>
        <w:t xml:space="preserve"> </w:t>
      </w:r>
      <w:r>
        <w:t xml:space="preserve">the</w:t>
      </w:r>
      <w:r>
        <w:t xml:space="preserve"> </w:t>
      </w:r>
      <w:r>
        <w:t xml:space="preserve">method</w:t>
      </w:r>
      <w:r>
        <w:t xml:space="preserve"> </w:t>
      </w:r>
      <w:r>
        <w:t xml:space="preserve">finds</w:t>
      </w:r>
      <w:r>
        <w:t xml:space="preserve"> </w:t>
      </w:r>
      <w:r>
        <w:t xml:space="preserve">no</w:t>
      </w:r>
      <w:r>
        <w:t xml:space="preserve"> </w:t>
      </w:r>
      <w:r>
        <w:t xml:space="preserve">detectable</w:t>
      </w:r>
      <w:r>
        <w:t xml:space="preserve"> </w:t>
      </w:r>
      <w:r>
        <w:t xml:space="preserve">change</w:t>
      </w:r>
      <w:r>
        <w:t xml:space="preserve"> </w:t>
      </w:r>
      <w:r>
        <w:t xml:space="preserve">in</w:t>
      </w:r>
      <w:r>
        <w:t xml:space="preserve"> </w:t>
      </w:r>
      <w:r>
        <w:t xml:space="preserve">its</w:t>
      </w:r>
      <w:r>
        <w:t xml:space="preserve"> </w:t>
      </w:r>
      <w:r>
        <w:t xml:space="preserve">first</w:t>
      </w:r>
      <w:r>
        <w:t xml:space="preserve"> </w:t>
      </w:r>
      <w:r>
        <w:t xml:space="preserve">nine</w:t>
      </w:r>
      <w:r>
        <w:t xml:space="preserve"> </w:t>
      </w:r>
      <w:r>
        <w:t xml:space="preserve">months.</w:t>
      </w:r>
      <w:r>
        <w:t xml:space="preserve"> </w:t>
      </w:r>
      <w:r>
        <w:t xml:space="preserve">For</w:t>
      </w:r>
      <w:r>
        <w:t xml:space="preserve"> </w:t>
      </w:r>
      <w:r>
        <w:t xml:space="preserve">Operation</w:t>
      </w:r>
      <w:r>
        <w:t xml:space="preserve"> </w:t>
      </w:r>
      <w:r>
        <w:t xml:space="preserve">Restore</w:t>
      </w:r>
      <w:r>
        <w:t xml:space="preserve"> </w:t>
      </w:r>
      <w:r>
        <w:t xml:space="preserve">Roosevelt</w:t>
      </w:r>
      <w:r>
        <w:t xml:space="preserve"> </w:t>
      </w:r>
      <w:r>
        <w:t xml:space="preserve">in</w:t>
      </w:r>
      <w:r>
        <w:t xml:space="preserve"> </w:t>
      </w:r>
      <w:r>
        <w:t xml:space="preserve">Queens,</w:t>
      </w:r>
      <w:r>
        <w:t xml:space="preserve"> </w:t>
      </w:r>
      <w:r>
        <w:t xml:space="preserve">New</w:t>
      </w:r>
      <w:r>
        <w:t xml:space="preserve"> </w:t>
      </w:r>
      <w:r>
        <w:t xml:space="preserve">York,</w:t>
      </w:r>
      <w:r>
        <w:t xml:space="preserve"> </w:t>
      </w:r>
      <w:r>
        <w:t xml:space="preserve">a</w:t>
      </w:r>
      <w:r>
        <w:t xml:space="preserve"> </w:t>
      </w:r>
      <w:r>
        <w:t xml:space="preserve">running</w:t>
      </w:r>
      <w:r>
        <w:t xml:space="preserve"> </w:t>
      </w:r>
      <w:r>
        <w:t xml:space="preserve">month-by-month</w:t>
      </w:r>
      <w:r>
        <w:t xml:space="preserve"> </w:t>
      </w:r>
      <w:r>
        <w:t xml:space="preserve">WDD</w:t>
      </w:r>
      <w:r>
        <w:t xml:space="preserve"> </w:t>
      </w:r>
      <w:r>
        <w:t xml:space="preserve">shows</w:t>
      </w:r>
      <w:r>
        <w:t xml:space="preserve"> </w:t>
      </w:r>
      <w:r>
        <w:t xml:space="preserve">property</w:t>
      </w:r>
      <w:r>
        <w:t xml:space="preserve"> </w:t>
      </w:r>
      <w:r>
        <w:t xml:space="preserve">crime</w:t>
      </w:r>
      <w:r>
        <w:t xml:space="preserve"> </w:t>
      </w:r>
      <w:r>
        <w:t xml:space="preserve">falling</w:t>
      </w:r>
      <w:r>
        <w:t xml:space="preserve"> </w:t>
      </w:r>
      <w:r>
        <w:t xml:space="preserve">relative</w:t>
      </w:r>
      <w:r>
        <w:t xml:space="preserve"> </w:t>
      </w:r>
      <w:r>
        <w:t xml:space="preserve">to</w:t>
      </w:r>
      <w:r>
        <w:t xml:space="preserve"> </w:t>
      </w:r>
      <w:r>
        <w:t xml:space="preserve">the</w:t>
      </w:r>
      <w:r>
        <w:t xml:space="preserve"> </w:t>
      </w:r>
      <w:r>
        <w:t xml:space="preserve">matched</w:t>
      </w:r>
      <w:r>
        <w:t xml:space="preserve"> </w:t>
      </w:r>
      <w:r>
        <w:t xml:space="preserve">control</w:t>
      </w:r>
      <w:r>
        <w:t xml:space="preserve"> </w:t>
      </w:r>
      <w:r>
        <w:t xml:space="preserve">during</w:t>
      </w:r>
      <w:r>
        <w:t xml:space="preserve"> </w:t>
      </w:r>
      <w:r>
        <w:t xml:space="preserve">the</w:t>
      </w:r>
      <w:r>
        <w:t xml:space="preserve"> </w:t>
      </w:r>
      <w:r>
        <w:t xml:space="preserve">operation’s</w:t>
      </w:r>
      <w:r>
        <w:t xml:space="preserve"> </w:t>
      </w:r>
      <w:r>
        <w:t xml:space="preserve">first</w:t>
      </w:r>
      <w:r>
        <w:t xml:space="preserve"> </w:t>
      </w:r>
      <w:r>
        <w:t xml:space="preserve">nine</w:t>
      </w:r>
      <w:r>
        <w:t xml:space="preserve"> </w:t>
      </w:r>
      <w:r>
        <w:t xml:space="preserve">months</w:t>
      </w:r>
      <w:r>
        <w:t xml:space="preserve"> </w:t>
      </w:r>
      <w:r>
        <w:t xml:space="preserve">and</w:t>
      </w:r>
      <w:r>
        <w:t xml:space="preserve"> </w:t>
      </w:r>
      <w:r>
        <w:t xml:space="preserve">then</w:t>
      </w:r>
      <w:r>
        <w:t xml:space="preserve"> </w:t>
      </w:r>
      <w:r>
        <w:t xml:space="preserve">rebounding,</w:t>
      </w:r>
      <w:r>
        <w:t xml:space="preserve"> </w:t>
      </w:r>
      <w:r>
        <w:t xml:space="preserve">with</w:t>
      </w:r>
      <w:r>
        <w:t xml:space="preserve"> </w:t>
      </w:r>
      <w:r>
        <w:t xml:space="preserve">no</w:t>
      </w:r>
      <w:r>
        <w:t xml:space="preserve"> </w:t>
      </w:r>
      <w:r>
        <w:t xml:space="preserve">net</w:t>
      </w:r>
      <w:r>
        <w:t xml:space="preserve"> </w:t>
      </w:r>
      <w:r>
        <w:t xml:space="preserve">change</w:t>
      </w:r>
      <w:r>
        <w:t xml:space="preserve"> </w:t>
      </w:r>
      <w:r>
        <w:t xml:space="preserve">after</w:t>
      </w:r>
      <w:r>
        <w:t xml:space="preserve"> </w:t>
      </w:r>
      <w:r>
        <w:t xml:space="preserve">20</w:t>
      </w:r>
      <w:r>
        <w:t xml:space="preserve"> </w:t>
      </w:r>
      <w:r>
        <w:t xml:space="preserve">months,</w:t>
      </w:r>
      <w:r>
        <w:t xml:space="preserve"> </w:t>
      </w:r>
      <w:r>
        <w:t xml:space="preserve">and</w:t>
      </w:r>
      <w:r>
        <w:t xml:space="preserve"> </w:t>
      </w:r>
      <w:r>
        <w:t xml:space="preserve">equally</w:t>
      </w:r>
      <w:r>
        <w:t xml:space="preserve"> </w:t>
      </w:r>
      <w:r>
        <w:t xml:space="preserve">well-matched</w:t>
      </w:r>
      <w:r>
        <w:t xml:space="preserve"> </w:t>
      </w:r>
      <w:r>
        <w:t xml:space="preserve">alternative</w:t>
      </w:r>
      <w:r>
        <w:t xml:space="preserve"> </w:t>
      </w:r>
      <w:r>
        <w:t xml:space="preserve">controls</w:t>
      </w:r>
      <w:r>
        <w:t xml:space="preserve"> </w:t>
      </w:r>
      <w:r>
        <w:t xml:space="preserve">disagree,</w:t>
      </w:r>
      <w:r>
        <w:t xml:space="preserve"> </w:t>
      </w:r>
      <w:r>
        <w:t xml:space="preserve">so</w:t>
      </w:r>
      <w:r>
        <w:t xml:space="preserve"> </w:t>
      </w:r>
      <w:r>
        <w:t xml:space="preserve">the</w:t>
      </w:r>
      <w:r>
        <w:t xml:space="preserve"> </w:t>
      </w:r>
      <w:r>
        <w:t xml:space="preserve">data</w:t>
      </w:r>
      <w:r>
        <w:t xml:space="preserve"> </w:t>
      </w:r>
      <w:r>
        <w:t xml:space="preserve">do</w:t>
      </w:r>
      <w:r>
        <w:t xml:space="preserve"> </w:t>
      </w:r>
      <w:r>
        <w:t xml:space="preserve">not</w:t>
      </w:r>
      <w:r>
        <w:t xml:space="preserve"> </w:t>
      </w:r>
      <w:r>
        <w:t xml:space="preserve">pin</w:t>
      </w:r>
      <w:r>
        <w:t xml:space="preserve"> </w:t>
      </w:r>
      <w:r>
        <w:t xml:space="preserve">down</w:t>
      </w:r>
      <w:r>
        <w:t xml:space="preserve"> </w:t>
      </w:r>
      <w:r>
        <w:t xml:space="preserve">the</w:t>
      </w:r>
      <w:r>
        <w:t xml:space="preserve"> </w:t>
      </w:r>
      <w:r>
        <w:t xml:space="preserve">operation’s</w:t>
      </w:r>
      <w:r>
        <w:t xml:space="preserve"> </w:t>
      </w:r>
      <w:r>
        <w:t xml:space="preserve">effect.</w:t>
      </w:r>
      <w:r>
        <w:t xml:space="preserve"> </w:t>
      </w:r>
      <w:r>
        <w:t xml:space="preserve">Code,</w:t>
      </w:r>
      <w:r>
        <w:t xml:space="preserve"> </w:t>
      </w:r>
      <w:r>
        <w:t xml:space="preserve">data,</w:t>
      </w:r>
      <w:r>
        <w:t xml:space="preserve"> </w:t>
      </w:r>
      <w:r>
        <w:t xml:space="preserve">and</w:t>
      </w:r>
      <w:r>
        <w:t xml:space="preserve"> </w:t>
      </w:r>
      <w:r>
        <w:t xml:space="preserve">paper</w:t>
      </w:r>
      <w:r>
        <w:t xml:space="preserve"> </w:t>
      </w:r>
      <w:r>
        <w:t xml:space="preserve">source</w:t>
      </w:r>
      <w:r>
        <w:t xml:space="preserve"> </w:t>
      </w:r>
      <w:r>
        <w:t xml:space="preserve">are</w:t>
      </w:r>
      <w:r>
        <w:t xml:space="preserve"> </w:t>
      </w:r>
      <w:r>
        <w:t xml:space="preserve">at</w:t>
      </w:r>
      <w:r>
        <w:t xml:space="preserve"> </w:t>
      </w:r>
      <w:r>
        <w:t xml:space="preserve">https://github.com/apwheele/WDDControl.</w:t>
      </w:r>
    </w:p>
    <w:bookmarkStart w:id="20" w:name="introduction"/>
    <w:p>
      <w:pPr>
        <w:pStyle w:val="Heading1"/>
      </w:pPr>
      <w:r>
        <w:t xml:space="preserve">1. Introduction</w:t>
      </w:r>
    </w:p>
    <w:p>
      <w:pPr>
        <w:pStyle w:val="FirstParagraph"/>
      </w:pPr>
      <w:r>
        <w:t xml:space="preserve">A police department puts extra patrols in a hot spot, a city funds a</w:t>
      </w:r>
      <w:r>
        <w:t xml:space="preserve"> </w:t>
      </w:r>
      <w:r>
        <w:t xml:space="preserve">business improvement district, or a task force cleans up a commercial</w:t>
      </w:r>
      <w:r>
        <w:t xml:space="preserve"> </w:t>
      </w:r>
      <w:r>
        <w:t xml:space="preserve">corridor. Afterwards someone asks whether crime went down. The weighted</w:t>
      </w:r>
      <w:r>
        <w:t xml:space="preserve"> </w:t>
      </w:r>
      <w:r>
        <w:t xml:space="preserve">displacement difference (WDD) test</w:t>
      </w:r>
      <w:r>
        <w:t xml:space="preserve"> </w:t>
      </w:r>
      <w:r>
        <w:t xml:space="preserve">(</w:t>
      </w:r>
      <w:hyperlink w:anchor="ref-wheeler2018wdd">
        <w:r>
          <w:rPr>
            <w:rStyle w:val="Hyperlink"/>
          </w:rPr>
          <w:t xml:space="preserve">Wheeler and Ratcliffe 2018</w:t>
        </w:r>
      </w:hyperlink>
      <w:r>
        <w:t xml:space="preserve">)</w:t>
      </w:r>
      <w:r>
        <w:t xml:space="preserve"> </w:t>
      </w:r>
      <w:r>
        <w:t xml:space="preserve">is a simple answer</w:t>
      </w:r>
      <w:r>
        <w:t xml:space="preserve"> </w:t>
      </w:r>
      <w:r>
        <w:t xml:space="preserve">that crime analysts can compute by hand: compare the change in crime in the</w:t>
      </w:r>
      <w:r>
        <w:t xml:space="preserve"> </w:t>
      </w:r>
      <w:r>
        <w:t xml:space="preserve">treated area with the change in a control area, and attach a Poisson</w:t>
      </w:r>
      <w:r>
        <w:t xml:space="preserve"> </w:t>
      </w:r>
      <w:r>
        <w:t xml:space="preserve">standard error. The test is only as good as the control area, though, and</w:t>
      </w:r>
      <w:r>
        <w:t xml:space="preserve"> </w:t>
      </w:r>
      <w:r>
        <w:t xml:space="preserve">in practice the analyst draws it by eye, as a ring around the treated area,</w:t>
      </w:r>
      <w:r>
        <w:t xml:space="preserve"> </w:t>
      </w:r>
      <w:r>
        <w:t xml:space="preserve">the rest of the police beat, or a neighborhood that</w:t>
      </w:r>
      <w:r>
        <w:t xml:space="preserve"> </w:t>
      </w:r>
      <w:r>
        <w:t xml:space="preserve">“</w:t>
      </w:r>
      <w:r>
        <w:t xml:space="preserve">looks similar.</w:t>
      </w:r>
      <w:r>
        <w:t xml:space="preserve">”</w:t>
      </w:r>
    </w:p>
    <w:p>
      <w:pPr>
        <w:pStyle w:val="BodyText"/>
      </w:pPr>
      <w:r>
        <w:t xml:space="preserve">Synthetic control methods</w:t>
      </w:r>
      <w:r>
        <w:t xml:space="preserve"> </w:t>
      </w:r>
      <w:r>
        <w:t xml:space="preserve">(</w:t>
      </w:r>
      <w:hyperlink w:anchor="ref-abadie2003">
        <w:r>
          <w:rPr>
            <w:rStyle w:val="Hyperlink"/>
          </w:rPr>
          <w:t xml:space="preserve">Abadie and Gardeazabal 2003</w:t>
        </w:r>
      </w:hyperlink>
      <w:r>
        <w:t xml:space="preserve">;</w:t>
      </w:r>
      <w:r>
        <w:t xml:space="preserve"> </w:t>
      </w:r>
      <w:hyperlink w:anchor="ref-abadie2010">
        <w:r>
          <w:rPr>
            <w:rStyle w:val="Hyperlink"/>
          </w:rPr>
          <w:t xml:space="preserve">Abadie, Diamond, and Hainmueller 2010</w:t>
        </w:r>
      </w:hyperlink>
      <w:r>
        <w:t xml:space="preserve">)</w:t>
      </w:r>
      <w:r>
        <w:t xml:space="preserve"> </w:t>
      </w:r>
      <w:r>
        <w:t xml:space="preserve">replace that judgment</w:t>
      </w:r>
      <w:r>
        <w:t xml:space="preserve"> </w:t>
      </w:r>
      <w:r>
        <w:t xml:space="preserve">with an optimization: weight untreated units so their weighted sum tracks</w:t>
      </w:r>
      <w:r>
        <w:t xml:space="preserve"> </w:t>
      </w:r>
      <w:r>
        <w:t xml:space="preserve">the treated unit before the intervention. For crime at small geographies,</w:t>
      </w:r>
      <w:r>
        <w:t xml:space="preserve"> </w:t>
      </w:r>
      <w:r>
        <w:t xml:space="preserve">microsynth</w:t>
      </w:r>
      <w:r>
        <w:t xml:space="preserve"> </w:t>
      </w:r>
      <w:r>
        <w:t xml:space="preserve">(</w:t>
      </w:r>
      <w:hyperlink w:anchor="ref-robbins2017">
        <w:r>
          <w:rPr>
            <w:rStyle w:val="Hyperlink"/>
          </w:rPr>
          <w:t xml:space="preserve">Robbins, Saunders, and Kilmer 2017</w:t>
        </w:r>
      </w:hyperlink>
      <w:r>
        <w:t xml:space="preserve">;</w:t>
      </w:r>
      <w:r>
        <w:t xml:space="preserve"> </w:t>
      </w:r>
      <w:hyperlink w:anchor="ref-robbins2021">
        <w:r>
          <w:rPr>
            <w:rStyle w:val="Hyperlink"/>
          </w:rPr>
          <w:t xml:space="preserve">Robbins and Davenport 2021</w:t>
        </w:r>
      </w:hyperlink>
      <w:r>
        <w:t xml:space="preserve">)</w:t>
      </w:r>
      <w:r>
        <w:t xml:space="preserve"> </w:t>
      </w:r>
      <w:r>
        <w:t xml:space="preserve">calibrates a weight for every</w:t>
      </w:r>
      <w:r>
        <w:t xml:space="preserve"> </w:t>
      </w:r>
      <w:r>
        <w:t xml:space="preserve">untreated micro area so that weighted pre-period counts match the treated</w:t>
      </w:r>
      <w:r>
        <w:t xml:space="preserve"> </w:t>
      </w:r>
      <w:r>
        <w:t xml:space="preserve">area’s exactly. The result is not an area. It is hundreds or thousands of</w:t>
      </w:r>
      <w:r>
        <w:t xml:space="preserve"> </w:t>
      </w:r>
      <w:r>
        <w:t xml:space="preserve">blocks scattered across a city, each carrying a fractional weight, which is</w:t>
      </w:r>
      <w:r>
        <w:t xml:space="preserve"> </w:t>
      </w:r>
      <w:r>
        <w:t xml:space="preserve">hard to explain to a city council, hard to check against local knowledge</w:t>
      </w:r>
      <w:r>
        <w:t xml:space="preserve"> </w:t>
      </w:r>
      <w:r>
        <w:t xml:space="preserve">(did one of those blocks lose a big store?), and does not fit the WDD’s</w:t>
      </w:r>
      <w:r>
        <w:t xml:space="preserve"> </w:t>
      </w:r>
      <w:r>
        <w:t xml:space="preserve">logic of counting crimes in a place.</w:t>
      </w:r>
    </w:p>
    <w:p>
      <w:pPr>
        <w:pStyle w:val="BodyText"/>
      </w:pPr>
      <w:r>
        <w:t xml:space="preserve">This paper describes a method to draw the control area as a single,</w:t>
      </w:r>
      <w:r>
        <w:t xml:space="preserve"> </w:t>
      </w:r>
      <w:r>
        <w:t xml:space="preserve">contiguous geographic area, with no weights, whose monthly crime before the</w:t>
      </w:r>
      <w:r>
        <w:t xml:space="preserve"> </w:t>
      </w:r>
      <w:r>
        <w:t xml:space="preserve">intervention tracks the treated area’s in the same way a synthetic control</w:t>
      </w:r>
      <w:r>
        <w:t xml:space="preserve"> </w:t>
      </w:r>
      <w:r>
        <w:t xml:space="preserve">does: plot the two series and they move together. Given small units</w:t>
      </w:r>
      <w:r>
        <w:t xml:space="preserve"> </w:t>
      </w:r>
      <w:r>
        <w:t xml:space="preserve">(census blocks or grid cells), their adjacency, and the treated area, it</w:t>
      </w:r>
      <w:r>
        <w:t xml:space="preserve"> </w:t>
      </w:r>
      <w:r>
        <w:t xml:space="preserve">searches for a connected set of units outside a buffer around the treated</w:t>
      </w:r>
      <w:r>
        <w:t xml:space="preserve"> </w:t>
      </w:r>
      <w:r>
        <w:t xml:space="preserve">area whose summed monthly counts follow the treated counts. The search</w:t>
      </w:r>
      <w:r>
        <w:t xml:space="preserve"> </w:t>
      </w:r>
      <w:r>
        <w:t xml:space="preserve">combines a network scan, which grows candidate areas outward from many</w:t>
      </w:r>
      <w:r>
        <w:t xml:space="preserve"> </w:t>
      </w:r>
      <w:r>
        <w:t xml:space="preserve">possible centers through the adjacency graph, with a small integer program</w:t>
      </w:r>
      <w:r>
        <w:t xml:space="preserve"> </w:t>
      </w:r>
      <w:r>
        <w:t xml:space="preserve">inside each scan window that picks which units to keep. A constraint that</w:t>
      </w:r>
      <w:r>
        <w:t xml:space="preserve"> </w:t>
      </w:r>
      <w:r>
        <w:t xml:space="preserve">every selected unit borders a selected unit closer to the window’s center</w:t>
      </w:r>
      <w:r>
        <w:t xml:space="preserve"> </w:t>
      </w:r>
      <w:r>
        <w:t xml:space="preserve">guarantees the area is connected and keeps each integer program small enough</w:t>
      </w:r>
      <w:r>
        <w:t xml:space="preserve"> </w:t>
      </w:r>
      <w:r>
        <w:t xml:space="preserve">to solve in about a second.</w:t>
      </w:r>
    </w:p>
    <w:p>
      <w:pPr>
        <w:pStyle w:val="BodyText"/>
      </w:pPr>
      <w:r>
        <w:t xml:space="preserve">A second contribution concerns how close a match to ask for. With</w:t>
      </w:r>
      <w:r>
        <w:t xml:space="preserve"> </w:t>
      </w:r>
      <w:r>
        <w:t xml:space="preserve">thousands of candidate areas, the best-fitting one matches the noise in the</w:t>
      </w:r>
      <w:r>
        <w:t xml:space="preserve"> </w:t>
      </w:r>
      <w:r>
        <w:t xml:space="preserve">treated series, not just its trend, and in simulations below that makes the</w:t>
      </w:r>
      <w:r>
        <w:t xml:space="preserve"> </w:t>
      </w:r>
      <w:r>
        <w:t xml:space="preserve">effect estimate worse, not better. I instead require the control to be</w:t>
      </w:r>
      <w:r>
        <w:t xml:space="preserve"> </w:t>
      </w:r>
      <w:r>
        <w:t xml:space="preserve">statistically indistinguishable from the treated area before the</w:t>
      </w:r>
      <w:r>
        <w:t xml:space="preserve"> </w:t>
      </w:r>
      <w:r>
        <w:t xml:space="preserve">intervention, month to month, over six-month stretches, and in overall</w:t>
      </w:r>
      <w:r>
        <w:t xml:space="preserve"> </w:t>
      </w:r>
      <w:r>
        <w:t xml:space="preserve">level and trend, judged against what Poisson noise alone would produce. Among</w:t>
      </w:r>
      <w:r>
        <w:t xml:space="preserve"> </w:t>
      </w:r>
      <w:r>
        <w:t xml:space="preserve">the areas that pass, the method picks the one nearest the treated area. The</w:t>
      </w:r>
      <w:r>
        <w:t xml:space="preserve"> </w:t>
      </w:r>
      <w:r>
        <w:t xml:space="preserve">rule is fast and easy to explain: the control area is the closest</w:t>
      </w:r>
      <w:r>
        <w:t xml:space="preserve"> </w:t>
      </w:r>
      <w:r>
        <w:t xml:space="preserve">contiguous area whose pre-intervention crime is indistinguishable from the</w:t>
      </w:r>
      <w:r>
        <w:t xml:space="preserve"> </w:t>
      </w:r>
      <w:r>
        <w:t xml:space="preserve">treated area’s.</w:t>
      </w:r>
    </w:p>
    <w:p>
      <w:pPr>
        <w:pStyle w:val="BodyText"/>
      </w:pPr>
      <w:r>
        <w:t xml:space="preserve">I illustrate the method on synthetic grids, where the true effect is known,</w:t>
      </w:r>
      <w:r>
        <w:t xml:space="preserve"> </w:t>
      </w:r>
      <w:r>
        <w:t xml:space="preserve">and compare it with control areas analysts commonly use (a surrounding ring</w:t>
      </w:r>
      <w:r>
        <w:t xml:space="preserve"> </w:t>
      </w:r>
      <w:r>
        <w:t xml:space="preserve">and the whole city), a pure scan, the best-fitting contiguous area, and a</w:t>
      </w:r>
      <w:r>
        <w:t xml:space="preserve"> </w:t>
      </w:r>
      <w:r>
        <w:t xml:space="preserve">Python replication of microsynth. I then apply it to two interventions with</w:t>
      </w:r>
      <w:r>
        <w:t xml:space="preserve"> </w:t>
      </w:r>
      <w:r>
        <w:t xml:space="preserve">open crime data: the RedBird public improvement district in Dallas, Texas,</w:t>
      </w:r>
      <w:r>
        <w:t xml:space="preserve"> </w:t>
      </w:r>
      <w:r>
        <w:t xml:space="preserve">which began its first year of services in 2026, and Operation Restore</w:t>
      </w:r>
      <w:r>
        <w:t xml:space="preserve"> </w:t>
      </w:r>
      <w:r>
        <w:t xml:space="preserve">Roosevelt, a 2024 multi-agency enforcement operation on Roosevelt Avenue in</w:t>
      </w:r>
      <w:r>
        <w:t xml:space="preserve"> </w:t>
      </w:r>
      <w:r>
        <w:t xml:space="preserve">Queens, New York. For the second I show how the chosen control area turns</w:t>
      </w:r>
      <w:r>
        <w:t xml:space="preserve"> </w:t>
      </w:r>
      <w:r>
        <w:t xml:space="preserve">the WDD into a running, month-by-month tally of crimes prevented, the kind</w:t>
      </w:r>
      <w:r>
        <w:t xml:space="preserve"> </w:t>
      </w:r>
      <w:r>
        <w:t xml:space="preserve">of counter that can be updated at each CompStat meeting</w:t>
      </w:r>
      <w:r>
        <w:t xml:space="preserve"> </w:t>
      </w:r>
      <w:r>
        <w:t xml:space="preserve">(</w:t>
      </w:r>
      <w:hyperlink w:anchor="ref-wheeler2024compstat">
        <w:r>
          <w:rPr>
            <w:rStyle w:val="Hyperlink"/>
          </w:rPr>
          <w:t xml:space="preserve">Wheeler 2024</w:t>
        </w:r>
      </w:hyperlink>
      <w:r>
        <w:t xml:space="preserve">)</w:t>
      </w:r>
      <w:r>
        <w:t xml:space="preserve">. Finding each control area takes</w:t>
      </w:r>
      <w:r>
        <w:t xml:space="preserve"> </w:t>
      </w:r>
      <w:r>
        <w:t xml:space="preserve">2.5 to</w:t>
      </w:r>
      <w:r>
        <w:t xml:space="preserve"> </w:t>
      </w:r>
      <w:r>
        <w:t xml:space="preserve">4.0</w:t>
      </w:r>
      <w:r>
        <w:t xml:space="preserve"> </w:t>
      </w:r>
      <w:r>
        <w:t xml:space="preserve">minutes on a four-core desktop computer.</w:t>
      </w:r>
    </w:p>
    <w:bookmarkEnd w:id="20"/>
    <w:bookmarkStart w:id="24" w:name="background"/>
    <w:p>
      <w:pPr>
        <w:pStyle w:val="Heading1"/>
      </w:pPr>
      <w:r>
        <w:t xml:space="preserve">2. Background</w:t>
      </w:r>
    </w:p>
    <w:bookmarkStart w:id="21" w:name="the-wdd-test"/>
    <w:p>
      <w:pPr>
        <w:pStyle w:val="Heading2"/>
      </w:pPr>
      <w:r>
        <w:t xml:space="preserve">2.1 The WDD test</w:t>
      </w:r>
    </w:p>
    <w:p>
      <w:pPr>
        <w:pStyle w:val="FirstParagraph"/>
      </w:pPr>
      <w:r>
        <w:t xml:space="preserve">Let</w:t>
      </w:r>
      <w:r>
        <w:t xml:space="preserve"> </w:t>
      </w:r>
      <m:oMath>
        <m:sSub>
          <m:e>
            <m:r>
              <m:t>T</m:t>
            </m:r>
          </m:e>
          <m:sub>
            <m:r>
              <m:t>0</m:t>
            </m:r>
          </m:sub>
        </m:sSub>
      </m:oMath>
      <w:r>
        <w:t xml:space="preserve"> </w:t>
      </w:r>
      <w:r>
        <w:t xml:space="preserve">and</w:t>
      </w:r>
      <w:r>
        <w:t xml:space="preserve"> </w:t>
      </w:r>
      <m:oMath>
        <m:sSub>
          <m:e>
            <m:r>
              <m:t>T</m:t>
            </m:r>
          </m:e>
          <m:sub>
            <m:r>
              <m:t>1</m:t>
            </m:r>
          </m:sub>
        </m:sSub>
      </m:oMath>
      <w:r>
        <w:t xml:space="preserve"> </w:t>
      </w:r>
      <w:r>
        <w:t xml:space="preserve">be crime counts in the treated area before and after an</w:t>
      </w:r>
      <w:r>
        <w:t xml:space="preserve"> </w:t>
      </w:r>
      <w:r>
        <w:t xml:space="preserve">intervention, and</w:t>
      </w:r>
      <w:r>
        <w:t xml:space="preserve"> </w:t>
      </w:r>
      <m:oMath>
        <m:sSub>
          <m:e>
            <m:r>
              <m:t>C</m:t>
            </m:r>
          </m:e>
          <m:sub>
            <m:r>
              <m:t>0</m:t>
            </m:r>
          </m:sub>
        </m:sSub>
      </m:oMath>
      <w:r>
        <w:t xml:space="preserve"> </w:t>
      </w:r>
      <w:r>
        <w:t xml:space="preserve">and</w:t>
      </w:r>
      <w:r>
        <w:t xml:space="preserve"> </w:t>
      </w:r>
      <m:oMath>
        <m:sSub>
          <m:e>
            <m:r>
              <m:t>C</m:t>
            </m:r>
          </m:e>
          <m:sub>
            <m:r>
              <m:t>1</m:t>
            </m:r>
          </m:sub>
        </m:sSub>
      </m:oMath>
      <w:r>
        <w:t xml:space="preserve"> </w:t>
      </w:r>
      <w:r>
        <w:t xml:space="preserve">the counts in a control area over the same</w:t>
      </w:r>
      <w:r>
        <w:t xml:space="preserve"> </w:t>
      </w:r>
      <w:r>
        <w:t xml:space="preserve">periods. The WDD estimate of crimes prevented (negative) or added</w:t>
      </w:r>
      <w:r>
        <w:t xml:space="preserve"> </w:t>
      </w:r>
      <w:r>
        <w:t xml:space="preserve">(positive) is the difference in differences</w:t>
      </w:r>
    </w:p>
    <w:p>
      <w:pPr>
        <w:pStyle w:val="BodyText"/>
      </w:pPr>
      <m:oMathPara>
        <m:oMathParaPr>
          <m:jc m:val="center"/>
        </m:oMathParaPr>
        <m:oMath>
          <m:acc>
            <m:accPr>
              <m:chr m:val="̂"/>
            </m:accPr>
            <m:e>
              <m:r>
                <m:t>Δ</m:t>
              </m:r>
            </m:e>
          </m:acc>
          <m:r>
            <m:rPr>
              <m:sty m:val="p"/>
            </m:rPr>
            <m:t>=</m:t>
          </m:r>
          <m:d>
            <m:dPr>
              <m:begChr m:val="("/>
              <m:endChr m:val=")"/>
              <m:sepChr m:val=""/>
              <m:grow/>
            </m:dPr>
            <m:e>
              <m:sSub>
                <m:e>
                  <m:r>
                    <m:t>T</m:t>
                  </m:r>
                </m:e>
                <m:sub>
                  <m:r>
                    <m:t>1</m:t>
                  </m:r>
                </m:sub>
              </m:sSub>
              <m:r>
                <m:rPr>
                  <m:sty m:val="p"/>
                </m:rPr>
                <m:t>−</m:t>
              </m:r>
              <m:sSub>
                <m:e>
                  <m:r>
                    <m:t>T</m:t>
                  </m:r>
                </m:e>
                <m:sub>
                  <m:r>
                    <m:t>0</m:t>
                  </m:r>
                </m:sub>
              </m:sSub>
            </m:e>
          </m:d>
          <m:r>
            <m:rPr>
              <m:sty m:val="p"/>
            </m:rPr>
            <m:t>−</m:t>
          </m:r>
          <m:d>
            <m:dPr>
              <m:begChr m:val="("/>
              <m:endChr m:val=")"/>
              <m:sepChr m:val=""/>
              <m:grow/>
            </m:dPr>
            <m:e>
              <m:sSub>
                <m:e>
                  <m:r>
                    <m:t>C</m:t>
                  </m:r>
                </m:e>
                <m:sub>
                  <m:r>
                    <m:t>1</m:t>
                  </m:r>
                </m:sub>
              </m:sSub>
              <m:r>
                <m:rPr>
                  <m:sty m:val="p"/>
                </m:rPr>
                <m:t>−</m:t>
              </m:r>
              <m:sSub>
                <m:e>
                  <m:r>
                    <m:t>C</m:t>
                  </m:r>
                </m:e>
                <m:sub>
                  <m:r>
                    <m:t>0</m:t>
                  </m:r>
                </m:sub>
              </m:sSub>
            </m:e>
          </m:d>
          <m:r>
            <m:rPr>
              <m:sty m:val="p"/>
            </m:rPr>
            <m:t>,</m:t>
          </m:r>
        </m:oMath>
      </m:oMathPara>
    </w:p>
    <w:p>
      <w:pPr>
        <w:pStyle w:val="FirstParagraph"/>
      </w:pPr>
      <w:r>
        <w:t xml:space="preserve">and if the four counts are independent Poisson variables its variance is</w:t>
      </w:r>
      <w:r>
        <w:t xml:space="preserve"> </w:t>
      </w:r>
      <m:oMath>
        <m:sSub>
          <m:e>
            <m:r>
              <m:t>T</m:t>
            </m:r>
          </m:e>
          <m:sub>
            <m:r>
              <m:t>0</m:t>
            </m:r>
          </m:sub>
        </m:sSub>
        <m:r>
          <m:rPr>
            <m:sty m:val="p"/>
          </m:rPr>
          <m:t>+</m:t>
        </m:r>
        <m:sSub>
          <m:e>
            <m:r>
              <m:t>T</m:t>
            </m:r>
          </m:e>
          <m:sub>
            <m:r>
              <m:t>1</m:t>
            </m:r>
          </m:sub>
        </m:sSub>
        <m:r>
          <m:rPr>
            <m:sty m:val="p"/>
          </m:rPr>
          <m:t>+</m:t>
        </m:r>
        <m:sSub>
          <m:e>
            <m:r>
              <m:t>C</m:t>
            </m:r>
          </m:e>
          <m:sub>
            <m:r>
              <m:t>0</m:t>
            </m:r>
          </m:sub>
        </m:sSub>
        <m:r>
          <m:rPr>
            <m:sty m:val="p"/>
          </m:rPr>
          <m:t>+</m:t>
        </m:r>
        <m:sSub>
          <m:e>
            <m:r>
              <m:t>C</m:t>
            </m:r>
          </m:e>
          <m:sub>
            <m:r>
              <m:t>1</m:t>
            </m:r>
          </m:sub>
        </m:sSub>
      </m:oMath>
      <w:r>
        <w:t xml:space="preserve"> </w:t>
      </w:r>
      <w:r>
        <w:t xml:space="preserve">(</w:t>
      </w:r>
      <w:hyperlink w:anchor="ref-wheeler2018wdd">
        <w:r>
          <w:rPr>
            <w:rStyle w:val="Hyperlink"/>
          </w:rPr>
          <w:t xml:space="preserve">Wheeler and Ratcliffe 2018</w:t>
        </w:r>
      </w:hyperlink>
      <w:r>
        <w:t xml:space="preserve">)</w:t>
      </w:r>
      <w:r>
        <w:t xml:space="preserve">. The original test also has a</w:t>
      </w:r>
      <w:r>
        <w:t xml:space="preserve"> </w:t>
      </w:r>
      <w:r>
        <w:t xml:space="preserve">displacement area around the treated area with its own control</w:t>
      </w:r>
      <w:r>
        <w:t xml:space="preserve"> </w:t>
      </w:r>
      <w:r>
        <w:t xml:space="preserve">(</w:t>
      </w:r>
      <w:hyperlink w:anchor="ref-bowers2003">
        <w:r>
          <w:rPr>
            <w:rStyle w:val="Hyperlink"/>
          </w:rPr>
          <w:t xml:space="preserve">Bowers and Johnson 2003</w:t>
        </w:r>
      </w:hyperlink>
      <w:r>
        <w:t xml:space="preserve">;</w:t>
      </w:r>
      <w:r>
        <w:t xml:space="preserve"> </w:t>
      </w:r>
      <w:hyperlink w:anchor="ref-guerette2009">
        <w:r>
          <w:rPr>
            <w:rStyle w:val="Hyperlink"/>
          </w:rPr>
          <w:t xml:space="preserve">Guerette and Bowers 2009</w:t>
        </w:r>
      </w:hyperlink>
      <w:r>
        <w:t xml:space="preserve">)</w:t>
      </w:r>
      <w:r>
        <w:t xml:space="preserve">; I leave displacement aside, since the</w:t>
      </w:r>
      <w:r>
        <w:t xml:space="preserve"> </w:t>
      </w:r>
      <w:r>
        <w:t xml:space="preserve">question here is how to choose the control.</w:t>
      </w:r>
    </w:p>
    <w:p>
      <w:pPr>
        <w:pStyle w:val="BodyText"/>
      </w:pPr>
      <w:r>
        <w:t xml:space="preserve">The estimate is unbiased if, absent the intervention, the treated area’s</w:t>
      </w:r>
      <w:r>
        <w:t xml:space="preserve"> </w:t>
      </w:r>
      <w:r>
        <w:t xml:space="preserve">count would have changed by the same number of crimes as the control’s.</w:t>
      </w:r>
      <w:r>
        <w:t xml:space="preserve"> </w:t>
      </w:r>
      <w:r>
        <w:t xml:space="preserve">That is a parallel trends assumption in counts. It is most plausible when</w:t>
      </w:r>
      <w:r>
        <w:t xml:space="preserve"> </w:t>
      </w:r>
      <w:r>
        <w:t xml:space="preserve">the control has about as much crime as the treated area and has followed</w:t>
      </w:r>
      <w:r>
        <w:t xml:space="preserve"> </w:t>
      </w:r>
      <w:r>
        <w:t xml:space="preserve">the same path over time. A control area with twice the crime will, if crime</w:t>
      </w:r>
      <w:r>
        <w:t xml:space="preserve"> </w:t>
      </w:r>
      <w:r>
        <w:t xml:space="preserve">moves proportionally, change by twice as many crimes, so the analyst should</w:t>
      </w:r>
      <w:r>
        <w:t xml:space="preserve"> </w:t>
      </w:r>
      <w:r>
        <w:t xml:space="preserve">either pick a control of similar volume or scale it: a control with</w:t>
      </w:r>
      <w:r>
        <w:t xml:space="preserve"> </w:t>
      </w:r>
      <m:oMath>
        <m:r>
          <m:t>k</m:t>
        </m:r>
      </m:oMath>
      <w:r>
        <w:t xml:space="preserve"> </w:t>
      </w:r>
      <w:r>
        <w:t xml:space="preserve">times the treated area’s crime enters as</w:t>
      </w:r>
      <w:r>
        <w:t xml:space="preserve"> </w:t>
      </w:r>
      <m:oMath>
        <m:d>
          <m:dPr>
            <m:begChr m:val="("/>
            <m:endChr m:val=")"/>
            <m:sepChr m:val=""/>
            <m:grow/>
          </m:dPr>
          <m:e>
            <m:sSub>
              <m:e>
                <m:r>
                  <m:t>C</m:t>
                </m:r>
              </m:e>
              <m:sub>
                <m:r>
                  <m:t>1</m:t>
                </m:r>
              </m:sub>
            </m:sSub>
            <m:r>
              <m:rPr>
                <m:sty m:val="p"/>
              </m:rPr>
              <m:t>−</m:t>
            </m:r>
            <m:sSub>
              <m:e>
                <m:r>
                  <m:t>C</m:t>
                </m:r>
              </m:e>
              <m:sub>
                <m:r>
                  <m:t>0</m:t>
                </m:r>
              </m:sub>
            </m:sSub>
          </m:e>
        </m:d>
        <m:r>
          <m:rPr>
            <m:sty m:val="p"/>
          </m:rPr>
          <m:t>/</m:t>
        </m:r>
        <m:r>
          <m:t>k</m:t>
        </m:r>
      </m:oMath>
      <w:r>
        <w:t xml:space="preserve">, with variance</w:t>
      </w:r>
      <w:r>
        <w:t xml:space="preserve"> </w:t>
      </w:r>
      <m:oMath>
        <m:d>
          <m:dPr>
            <m:begChr m:val="("/>
            <m:endChr m:val=")"/>
            <m:sepChr m:val=""/>
            <m:grow/>
          </m:dPr>
          <m:e>
            <m:sSub>
              <m:e>
                <m:r>
                  <m:t>C</m:t>
                </m:r>
              </m:e>
              <m:sub>
                <m:r>
                  <m:t>0</m:t>
                </m:r>
              </m:sub>
            </m:sSub>
            <m:r>
              <m:rPr>
                <m:sty m:val="p"/>
              </m:rPr>
              <m:t>+</m:t>
            </m:r>
            <m:sSub>
              <m:e>
                <m:r>
                  <m:t>C</m:t>
                </m:r>
              </m:e>
              <m:sub>
                <m:r>
                  <m:t>1</m:t>
                </m:r>
              </m:sub>
            </m:sSub>
          </m:e>
        </m:d>
        <m:r>
          <m:rPr>
            <m:sty m:val="p"/>
          </m:rPr>
          <m:t>/</m:t>
        </m:r>
        <m:sSup>
          <m:e>
            <m:r>
              <m:t>k</m:t>
            </m:r>
          </m:e>
          <m:sup>
            <m:r>
              <m:t>2</m:t>
            </m:r>
          </m:sup>
        </m:sSup>
      </m:oMath>
      <w:r>
        <w:t xml:space="preserve">. Both the volume and the path are visible before the</w:t>
      </w:r>
      <w:r>
        <w:t xml:space="preserve"> </w:t>
      </w:r>
      <w:r>
        <w:t xml:space="preserve">intervention, which is what synthetic control methods exploit.</w:t>
      </w:r>
    </w:p>
    <w:bookmarkEnd w:id="21"/>
    <w:bookmarkStart w:id="22" w:name="synthetic-controls-and-microsynth"/>
    <w:p>
      <w:pPr>
        <w:pStyle w:val="Heading2"/>
      </w:pPr>
      <w:r>
        <w:t xml:space="preserve">2.2 Synthetic controls and microsynth</w:t>
      </w:r>
    </w:p>
    <w:p>
      <w:pPr>
        <w:pStyle w:val="FirstParagraph"/>
      </w:pPr>
      <w:r>
        <w:t xml:space="preserve">The synthetic control method</w:t>
      </w:r>
      <w:r>
        <w:t xml:space="preserve"> </w:t>
      </w:r>
      <w:r>
        <w:t xml:space="preserve">(</w:t>
      </w:r>
      <w:hyperlink w:anchor="ref-abadie2003">
        <w:r>
          <w:rPr>
            <w:rStyle w:val="Hyperlink"/>
          </w:rPr>
          <w:t xml:space="preserve">Abadie and Gardeazabal 2003</w:t>
        </w:r>
      </w:hyperlink>
      <w:r>
        <w:t xml:space="preserve">;</w:t>
      </w:r>
      <w:r>
        <w:t xml:space="preserve"> </w:t>
      </w:r>
      <w:hyperlink w:anchor="ref-abadie2010">
        <w:r>
          <w:rPr>
            <w:rStyle w:val="Hyperlink"/>
          </w:rPr>
          <w:t xml:space="preserve">Abadie, Diamond, and Hainmueller 2010</w:t>
        </w:r>
      </w:hyperlink>
      <w:r>
        <w:t xml:space="preserve">;</w:t>
      </w:r>
      <w:r>
        <w:t xml:space="preserve"> </w:t>
      </w:r>
      <w:hyperlink w:anchor="ref-abadie2021">
        <w:r>
          <w:rPr>
            <w:rStyle w:val="Hyperlink"/>
          </w:rPr>
          <w:t xml:space="preserve">Abadie 2021</w:t>
        </w:r>
      </w:hyperlink>
      <w:r>
        <w:t xml:space="preserve">)</w:t>
      </w:r>
      <w:r>
        <w:t xml:space="preserve"> </w:t>
      </w:r>
      <w:r>
        <w:t xml:space="preserve">builds</w:t>
      </w:r>
      <w:r>
        <w:t xml:space="preserve"> </w:t>
      </w:r>
      <w:r>
        <w:t xml:space="preserve">a counterfactual for one treated unit as a weighted average of untreated</w:t>
      </w:r>
      <w:r>
        <w:t xml:space="preserve"> </w:t>
      </w:r>
      <w:r>
        <w:t xml:space="preserve">units, with non-negative weights chosen to reproduce the treated unit’s</w:t>
      </w:r>
      <w:r>
        <w:t xml:space="preserve"> </w:t>
      </w:r>
      <w:r>
        <w:t xml:space="preserve">pre-intervention outcomes.</w:t>
      </w:r>
      <w:r>
        <w:t xml:space="preserve"> </w:t>
      </w:r>
      <w:r>
        <w:t xml:space="preserve">Saunders et al. (</w:t>
      </w:r>
      <w:hyperlink w:anchor="ref-saunders2015">
        <w:r>
          <w:rPr>
            <w:rStyle w:val="Hyperlink"/>
          </w:rPr>
          <w:t xml:space="preserve">2015</w:t>
        </w:r>
      </w:hyperlink>
      <w:r>
        <w:t xml:space="preserve">)</w:t>
      </w:r>
      <w:r>
        <w:t xml:space="preserve"> </w:t>
      </w:r>
      <w:r>
        <w:t xml:space="preserve">adapted it to place-based crime</w:t>
      </w:r>
      <w:r>
        <w:t xml:space="preserve"> </w:t>
      </w:r>
      <w:r>
        <w:t xml:space="preserve">interventions.</w:t>
      </w:r>
      <w:r>
        <w:t xml:space="preserve"> </w:t>
      </w:r>
      <w:r>
        <w:t xml:space="preserve">Robbins, Saunders, and Kilmer (</w:t>
      </w:r>
      <w:hyperlink w:anchor="ref-robbins2017">
        <w:r>
          <w:rPr>
            <w:rStyle w:val="Hyperlink"/>
          </w:rPr>
          <w:t xml:space="preserve">2017</w:t>
        </w:r>
      </w:hyperlink>
      <w:r>
        <w:t xml:space="preserve">)</w:t>
      </w:r>
      <w:r>
        <w:t xml:space="preserve"> </w:t>
      </w:r>
      <w:r>
        <w:t xml:space="preserve">extended it to micro-level data, where the</w:t>
      </w:r>
      <w:r>
        <w:t xml:space="preserve"> </w:t>
      </w:r>
      <w:r>
        <w:t xml:space="preserve">treated area is made up of many small units and there are thousands of</w:t>
      </w:r>
      <w:r>
        <w:t xml:space="preserve"> </w:t>
      </w:r>
      <w:r>
        <w:t xml:space="preserve">potential donors. Microsynth finds weights by survey calibration</w:t>
      </w:r>
      <w:r>
        <w:t xml:space="preserve"> </w:t>
      </w:r>
      <w:r>
        <w:t xml:space="preserve">(</w:t>
      </w:r>
      <w:hyperlink w:anchor="ref-deville1992">
        <w:r>
          <w:rPr>
            <w:rStyle w:val="Hyperlink"/>
          </w:rPr>
          <w:t xml:space="preserve">Deville and Särndal 1992</w:t>
        </w:r>
      </w:hyperlink>
      <w:r>
        <w:t xml:space="preserve">)</w:t>
      </w:r>
      <w:r>
        <w:t xml:space="preserve">: each untreated unit’s weight is as close as possible to a</w:t>
      </w:r>
      <w:r>
        <w:t xml:space="preserve"> </w:t>
      </w:r>
      <w:r>
        <w:t xml:space="preserve">common base weight, subject to the weighted sums exactly matching the</w:t>
      </w:r>
      <w:r>
        <w:t xml:space="preserve"> </w:t>
      </w:r>
      <w:r>
        <w:t xml:space="preserve">treated area’s totals on the pre-period outcomes in each time period (and</w:t>
      </w:r>
      <w:r>
        <w:t xml:space="preserve"> </w:t>
      </w:r>
      <w:r>
        <w:t xml:space="preserve">any covariates). With the raking distance this is the convex program</w:t>
      </w:r>
    </w:p>
    <w:p>
      <w:pPr>
        <w:pStyle w:val="BodyText"/>
      </w:pPr>
      <m:oMathPara>
        <m:oMathParaPr>
          <m:jc m:val="center"/>
        </m:oMathParaPr>
        <m:oMath>
          <m:limLow>
            <m:e>
              <m:r>
                <m:rPr>
                  <m:sty m:val="p"/>
                </m:rPr>
                <m:t>min</m:t>
              </m:r>
            </m:e>
            <m:lim>
              <m:r>
                <m:t>w</m:t>
              </m:r>
              <m:r>
                <m:rPr>
                  <m:sty m:val="p"/>
                </m:rPr>
                <m:t>≥</m:t>
              </m:r>
              <m:r>
                <m:t>0</m:t>
              </m:r>
            </m:lim>
          </m:limLow>
          <m:nary>
            <m:naryPr>
              <m:chr m:val="∑"/>
              <m:limLoc m:val="undOvr"/>
              <m:subHide m:val="off"/>
              <m:supHide m:val="on"/>
            </m:naryPr>
            <m:sub>
              <m:r>
                <m:t>i</m:t>
              </m:r>
            </m:sub>
            <m:sup>
              <m:r>
                <m:t>​</m:t>
              </m:r>
            </m:sup>
            <m:e>
              <m:d>
                <m:dPr>
                  <m:begChr m:val="["/>
                  <m:endChr m:val="]"/>
                  <m:sepChr m:val=""/>
                  <m:grow/>
                </m:dPr>
                <m:e>
                  <m:sSub>
                    <m:e>
                      <m:r>
                        <m:t>w</m:t>
                      </m:r>
                    </m:e>
                    <m:sub>
                      <m:r>
                        <m:t>i</m:t>
                      </m:r>
                    </m:sub>
                  </m:sSub>
                  <m:r>
                    <m:rPr>
                      <m:sty m:val="p"/>
                    </m:rPr>
                    <m:t>log</m:t>
                  </m:r>
                  <m:d>
                    <m:dPr>
                      <m:begChr m:val="("/>
                      <m:endChr m:val=")"/>
                      <m:sepChr m:val=""/>
                      <m:grow/>
                    </m:dPr>
                    <m:e>
                      <m:sSub>
                        <m:e>
                          <m:r>
                            <m:t>w</m:t>
                          </m:r>
                        </m:e>
                        <m:sub>
                          <m:r>
                            <m:t>i</m:t>
                          </m:r>
                        </m:sub>
                      </m:sSub>
                      <m:r>
                        <m:rPr>
                          <m:sty m:val="p"/>
                        </m:rPr>
                        <m:t>/</m:t>
                      </m:r>
                      <m:sSub>
                        <m:e>
                          <m:r>
                            <m:t>d</m:t>
                          </m:r>
                        </m:e>
                        <m:sub>
                          <m:r>
                            <m:t>i</m:t>
                          </m:r>
                        </m:sub>
                      </m:sSub>
                    </m:e>
                  </m:d>
                  <m:r>
                    <m:rPr>
                      <m:sty m:val="p"/>
                    </m:rPr>
                    <m:t>−</m:t>
                  </m:r>
                  <m:sSub>
                    <m:e>
                      <m:r>
                        <m:t>w</m:t>
                      </m:r>
                    </m:e>
                    <m:sub>
                      <m:r>
                        <m:t>i</m:t>
                      </m:r>
                    </m:sub>
                  </m:sSub>
                  <m:r>
                    <m:rPr>
                      <m:sty m:val="p"/>
                    </m:rPr>
                    <m:t>+</m:t>
                  </m:r>
                  <m:sSub>
                    <m:e>
                      <m:r>
                        <m:t>d</m:t>
                      </m:r>
                    </m:e>
                    <m:sub>
                      <m:r>
                        <m:t>i</m:t>
                      </m:r>
                    </m:sub>
                  </m:sSub>
                </m:e>
              </m:d>
            </m:e>
          </m:nary>
          <m:r>
            <m:t> </m:t>
          </m:r>
          <m:r>
            <m:rPr>
              <m:nor/>
              <m:sty m:val="p"/>
            </m:rPr>
            <m:t>subject to</m:t>
          </m:r>
          <m:r>
            <m:t> </m:t>
          </m:r>
          <m:nary>
            <m:naryPr>
              <m:chr m:val="∑"/>
              <m:limLoc m:val="undOvr"/>
              <m:subHide m:val="off"/>
              <m:supHide m:val="on"/>
            </m:naryPr>
            <m:sub>
              <m:r>
                <m:t>i</m:t>
              </m:r>
            </m:sub>
            <m:sup>
              <m:r>
                <m:t>​</m:t>
              </m:r>
            </m:sup>
            <m:e>
              <m:sSub>
                <m:e>
                  <m:r>
                    <m:t>w</m:t>
                  </m:r>
                </m:e>
                <m:sub>
                  <m:r>
                    <m:t>i</m:t>
                  </m:r>
                </m:sub>
              </m:sSub>
            </m:e>
          </m:nary>
          <m:sSub>
            <m:e>
              <m:r>
                <m:t>x</m:t>
              </m:r>
            </m:e>
            <m:sub>
              <m:r>
                <m:t>i</m:t>
              </m:r>
              <m:r>
                <m:t>t</m:t>
              </m:r>
            </m:sub>
          </m:sSub>
          <m:r>
            <m:rPr>
              <m:sty m:val="p"/>
            </m:rPr>
            <m:t>=</m:t>
          </m:r>
          <m:sSub>
            <m:e>
              <m:r>
                <m:t>y</m:t>
              </m:r>
            </m:e>
            <m:sub>
              <m:r>
                <m:t>t</m:t>
              </m:r>
            </m:sub>
          </m:sSub>
          <m:r>
            <m:t> </m:t>
          </m:r>
          <m:r>
            <m:t> </m:t>
          </m:r>
          <m:r>
            <m:rPr>
              <m:nor/>
              <m:sty m:val="p"/>
            </m:rPr>
            <m:t>for all </m:t>
          </m:r>
          <m:r>
            <m:t>t</m:t>
          </m:r>
          <m:r>
            <m:rPr>
              <m:sty m:val="p"/>
            </m:rPr>
            <m:t>,</m:t>
          </m:r>
          <m:r>
            <m:t> </m:t>
          </m:r>
          <m:nary>
            <m:naryPr>
              <m:chr m:val="∑"/>
              <m:limLoc m:val="undOvr"/>
              <m:subHide m:val="off"/>
              <m:supHide m:val="on"/>
            </m:naryPr>
            <m:sub>
              <m:r>
                <m:t>i</m:t>
              </m:r>
            </m:sub>
            <m:sup>
              <m:r>
                <m:t>​</m:t>
              </m:r>
            </m:sup>
            <m:e>
              <m:sSub>
                <m:e>
                  <m:r>
                    <m:t>w</m:t>
                  </m:r>
                </m:e>
                <m:sub>
                  <m:r>
                    <m:t>i</m:t>
                  </m:r>
                </m:sub>
              </m:sSub>
            </m:e>
          </m:nary>
          <m:r>
            <m:rPr>
              <m:sty m:val="p"/>
            </m:rPr>
            <m:t>=</m:t>
          </m:r>
          <m:sSub>
            <m:e>
              <m:r>
                <m:t>n</m:t>
              </m:r>
            </m:e>
            <m:sub>
              <m:r>
                <m:t>T</m:t>
              </m:r>
            </m:sub>
          </m:sSub>
          <m:r>
            <m:rPr>
              <m:sty m:val="p"/>
            </m:rPr>
            <m:t>,</m:t>
          </m:r>
        </m:oMath>
      </m:oMathPara>
    </w:p>
    <w:p>
      <w:pPr>
        <w:pStyle w:val="FirstParagraph"/>
      </w:pPr>
      <w:r>
        <w:t xml:space="preserve">where</w:t>
      </w:r>
      <w:r>
        <w:t xml:space="preserve"> </w:t>
      </w:r>
      <m:oMath>
        <m:sSub>
          <m:e>
            <m:r>
              <m:t>x</m:t>
            </m:r>
          </m:e>
          <m:sub>
            <m:r>
              <m:t>i</m:t>
            </m:r>
            <m:r>
              <m:t>t</m:t>
            </m:r>
          </m:sub>
        </m:sSub>
      </m:oMath>
      <w:r>
        <w:t xml:space="preserve"> </w:t>
      </w:r>
      <w:r>
        <w:t xml:space="preserve">are untreated units’ counts,</w:t>
      </w:r>
      <w:r>
        <w:t xml:space="preserve"> </w:t>
      </w:r>
      <m:oMath>
        <m:sSub>
          <m:e>
            <m:r>
              <m:t>y</m:t>
            </m:r>
          </m:e>
          <m:sub>
            <m:r>
              <m:t>t</m:t>
            </m:r>
          </m:sub>
        </m:sSub>
      </m:oMath>
      <w:r>
        <w:t xml:space="preserve"> </w:t>
      </w:r>
      <w:r>
        <w:t xml:space="preserve">the treated area’s counts,</w:t>
      </w:r>
      <w:r>
        <w:t xml:space="preserve"> </w:t>
      </w:r>
      <m:oMath>
        <m:sSub>
          <m:e>
            <m:r>
              <m:t>n</m:t>
            </m:r>
          </m:e>
          <m:sub>
            <m:r>
              <m:t>T</m:t>
            </m:r>
          </m:sub>
        </m:sSub>
      </m:oMath>
      <w:r>
        <w:t xml:space="preserve"> </w:t>
      </w:r>
      <w:r>
        <w:t xml:space="preserve">the number of treated units and</w:t>
      </w:r>
      <w:r>
        <w:t xml:space="preserve"> </w:t>
      </w:r>
      <m:oMath>
        <m:sSub>
          <m:e>
            <m:r>
              <m:t>d</m:t>
            </m:r>
          </m:e>
          <m:sub>
            <m:r>
              <m:t>i</m:t>
            </m:r>
          </m:sub>
        </m:sSub>
        <m:r>
          <m:rPr>
            <m:sty m:val="p"/>
          </m:rPr>
          <m:t>=</m:t>
        </m:r>
        <m:sSub>
          <m:e>
            <m:r>
              <m:t>n</m:t>
            </m:r>
          </m:e>
          <m:sub>
            <m:r>
              <m:t>T</m:t>
            </m:r>
          </m:sub>
        </m:sSub>
        <m:r>
          <m:rPr>
            <m:sty m:val="p"/>
          </m:rPr>
          <m:t>/</m:t>
        </m:r>
        <m:r>
          <m:t>n</m:t>
        </m:r>
      </m:oMath>
      <w:r>
        <w:t xml:space="preserve"> </w:t>
      </w:r>
      <w:r>
        <w:t xml:space="preserve">the base weight. The</w:t>
      </w:r>
      <w:r>
        <w:t xml:space="preserve"> </w:t>
      </w:r>
      <w:r>
        <w:t xml:space="preserve">weights spread over the whole study region.</w:t>
      </w:r>
    </w:p>
    <w:bookmarkEnd w:id="22"/>
    <w:bookmarkStart w:id="23" w:name="contiguity-and-scan-statistics"/>
    <w:p>
      <w:pPr>
        <w:pStyle w:val="Heading2"/>
      </w:pPr>
      <w:r>
        <w:t xml:space="preserve">2.3 Contiguity and scan statistics</w:t>
      </w:r>
    </w:p>
    <w:p>
      <w:pPr>
        <w:pStyle w:val="FirstParagraph"/>
      </w:pPr>
      <w:r>
        <w:t xml:space="preserve">Requiring a set of selected areas to be connected is a familiar constraint</w:t>
      </w:r>
      <w:r>
        <w:t xml:space="preserve"> </w:t>
      </w:r>
      <w:r>
        <w:t xml:space="preserve">in districting and spatial optimization. Exact formulations use network</w:t>
      </w:r>
      <w:r>
        <w:t xml:space="preserve"> </w:t>
      </w:r>
      <w:r>
        <w:t xml:space="preserve">flows</w:t>
      </w:r>
      <w:r>
        <w:t xml:space="preserve"> </w:t>
      </w:r>
      <w:r>
        <w:t xml:space="preserve">(</w:t>
      </w:r>
      <w:hyperlink w:anchor="ref-shirabe2005">
        <w:r>
          <w:rPr>
            <w:rStyle w:val="Hyperlink"/>
          </w:rPr>
          <w:t xml:space="preserve">Shirabe 2005</w:t>
        </w:r>
      </w:hyperlink>
      <w:r>
        <w:t xml:space="preserve">)</w:t>
      </w:r>
      <w:r>
        <w:t xml:space="preserve"> </w:t>
      </w:r>
      <w:r>
        <w:t xml:space="preserve">or cut constraints added as needed</w:t>
      </w:r>
      <w:r>
        <w:t xml:space="preserve"> </w:t>
      </w:r>
      <w:r>
        <w:t xml:space="preserve">(</w:t>
      </w:r>
      <w:hyperlink w:anchor="ref-validi2022">
        <w:r>
          <w:rPr>
            <w:rStyle w:val="Hyperlink"/>
          </w:rPr>
          <w:t xml:space="preserve">Validi, Buchanan, and Lykhovyd 2022</w:t>
        </w:r>
      </w:hyperlink>
      <w:r>
        <w:t xml:space="preserve">)</w:t>
      </w:r>
      <w:r>
        <w:t xml:space="preserve">.</w:t>
      </w:r>
      <w:r>
        <w:t xml:space="preserve"> </w:t>
      </w:r>
      <w:r>
        <w:t xml:space="preserve">Wheeler (</w:t>
      </w:r>
      <w:hyperlink w:anchor="ref-wheeler2019pmed">
        <w:r>
          <w:rPr>
            <w:rStyle w:val="Hyperlink"/>
          </w:rPr>
          <w:t xml:space="preserve">2019</w:t>
        </w:r>
      </w:hyperlink>
      <w:r>
        <w:t xml:space="preserve">)</w:t>
      </w:r>
      <w:r>
        <w:t xml:space="preserve"> </w:t>
      </w:r>
      <w:r>
        <w:t xml:space="preserve">uses a simpler version for patrol districts: each area</w:t>
      </w:r>
      <w:r>
        <w:t xml:space="preserve"> </w:t>
      </w:r>
      <w:r>
        <w:t xml:space="preserve">assigned to a district must border another assigned area that is closer to</w:t>
      </w:r>
      <w:r>
        <w:t xml:space="preserve"> </w:t>
      </w:r>
      <w:r>
        <w:t xml:space="preserve">the district’s center. That idea is what makes the method here fast. Scan</w:t>
      </w:r>
      <w:r>
        <w:t xml:space="preserve"> </w:t>
      </w:r>
      <w:r>
        <w:t xml:space="preserve">statistics</w:t>
      </w:r>
      <w:r>
        <w:t xml:space="preserve"> </w:t>
      </w:r>
      <w:r>
        <w:t xml:space="preserve">(</w:t>
      </w:r>
      <w:hyperlink w:anchor="ref-kulldorff1997">
        <w:r>
          <w:rPr>
            <w:rStyle w:val="Hyperlink"/>
          </w:rPr>
          <w:t xml:space="preserve">Kulldorff 1997</w:t>
        </w:r>
      </w:hyperlink>
      <w:r>
        <w:t xml:space="preserve">)</w:t>
      </w:r>
      <w:r>
        <w:t xml:space="preserve"> </w:t>
      </w:r>
      <w:r>
        <w:t xml:space="preserve">search over many candidate zones, classically</w:t>
      </w:r>
      <w:r>
        <w:t xml:space="preserve"> </w:t>
      </w:r>
      <w:r>
        <w:t xml:space="preserve">circles of increasing radius around every location; flexibly shaped scans</w:t>
      </w:r>
      <w:r>
        <w:t xml:space="preserve"> </w:t>
      </w:r>
      <w:r>
        <w:t xml:space="preserve">(</w:t>
      </w:r>
      <w:hyperlink w:anchor="ref-tango2005">
        <w:r>
          <w:rPr>
            <w:rStyle w:val="Hyperlink"/>
          </w:rPr>
          <w:t xml:space="preserve">Tango and Takahashi 2005</w:t>
        </w:r>
      </w:hyperlink>
      <w:r>
        <w:t xml:space="preserve">)</w:t>
      </w:r>
      <w:r>
        <w:t xml:space="preserve"> </w:t>
      </w:r>
      <w:r>
        <w:t xml:space="preserve">grow connected zones through the adjacency graph instead. The</w:t>
      </w:r>
      <w:r>
        <w:t xml:space="preserve"> </w:t>
      </w:r>
      <w:r>
        <w:t xml:space="preserve">method below is a scan in that sense, but it optimizes the shape within each</w:t>
      </w:r>
      <w:r>
        <w:t xml:space="preserve"> </w:t>
      </w:r>
      <w:r>
        <w:t xml:space="preserve">window rather than enumerating shapes.</w:t>
      </w:r>
    </w:p>
    <w:bookmarkEnd w:id="23"/>
    <w:bookmarkEnd w:id="24"/>
    <w:bookmarkStart w:id="30" w:name="method"/>
    <w:p>
      <w:pPr>
        <w:pStyle w:val="Heading1"/>
      </w:pPr>
      <w:r>
        <w:t xml:space="preserve">3. Method</w:t>
      </w:r>
    </w:p>
    <w:bookmarkStart w:id="25" w:name="setup"/>
    <w:p>
      <w:pPr>
        <w:pStyle w:val="Heading2"/>
      </w:pPr>
      <w:r>
        <w:t xml:space="preserve">3.1 Setup</w:t>
      </w:r>
    </w:p>
    <w:p>
      <w:pPr>
        <w:pStyle w:val="FirstParagraph"/>
      </w:pPr>
      <w:r>
        <w:t xml:space="preserve">Divide the study region into small units</w:t>
      </w:r>
      <w:r>
        <w:t xml:space="preserve"> </w:t>
      </w:r>
      <m:oMath>
        <m:r>
          <m:t>i</m:t>
        </m:r>
        <m:r>
          <m:rPr>
            <m:sty m:val="p"/>
          </m:rPr>
          <m:t>=</m:t>
        </m:r>
        <m:r>
          <m:t>1</m:t>
        </m:r>
        <m:r>
          <m:rPr>
            <m:sty m:val="p"/>
          </m:rPr>
          <m:t>,</m:t>
        </m:r>
        <m:r>
          <m:rPr>
            <m:sty m:val="p"/>
          </m:rPr>
          <m:t>…</m:t>
        </m:r>
        <m:r>
          <m:rPr>
            <m:sty m:val="p"/>
          </m:rPr>
          <m:t>,</m:t>
        </m:r>
        <m:r>
          <m:t>N</m:t>
        </m:r>
      </m:oMath>
      <w:r>
        <w:t xml:space="preserve"> </w:t>
      </w:r>
      <w:r>
        <w:t xml:space="preserve">(census blocks in</w:t>
      </w:r>
      <w:r>
        <w:t xml:space="preserve"> </w:t>
      </w:r>
      <w:r>
        <w:t xml:space="preserve">the case studies, grid cells in the simulations), with an adjacency graph</w:t>
      </w:r>
      <w:r>
        <w:t xml:space="preserve"> </w:t>
      </w:r>
      <w:r>
        <w:t xml:space="preserve">connecting units that share a boundary (rook contiguity, so blocks that only</w:t>
      </w:r>
      <w:r>
        <w:t xml:space="preserve"> </w:t>
      </w:r>
      <w:r>
        <w:t xml:space="preserve">touch at a corner are not neighbors). The treated area is given. Units</w:t>
      </w:r>
      <w:r>
        <w:t xml:space="preserve"> </w:t>
      </w:r>
      <w:r>
        <w:t xml:space="preserve">within a buffer distance of it are removed, so the control area is not</w:t>
      </w:r>
      <w:r>
        <w:t xml:space="preserve"> </w:t>
      </w:r>
      <w:r>
        <w:t xml:space="preserve">contaminated by spillover or displacement, as are any units the analyst</w:t>
      </w:r>
      <w:r>
        <w:t xml:space="preserve"> </w:t>
      </w:r>
      <w:r>
        <w:t xml:space="preserve">wants to exclude (for example, other places receiving the same kind of</w:t>
      </w:r>
      <w:r>
        <w:t xml:space="preserve"> </w:t>
      </w:r>
      <w:r>
        <w:t xml:space="preserve">intervention). The remaining units are candidates, and the control area</w:t>
      </w:r>
      <w:r>
        <w:t xml:space="preserve"> </w:t>
      </w:r>
      <w:r>
        <w:t xml:space="preserve">must be connected through candidate units alone.</w:t>
      </w:r>
    </w:p>
    <w:p>
      <w:pPr>
        <w:pStyle w:val="BodyText"/>
      </w:pPr>
      <w:r>
        <w:t xml:space="preserve">Let</w:t>
      </w:r>
      <w:r>
        <w:t xml:space="preserve"> </w:t>
      </w:r>
      <m:oMath>
        <m:sSub>
          <m:e>
            <m:r>
              <m:t>y</m:t>
            </m:r>
          </m:e>
          <m:sub>
            <m:r>
              <m:t>t</m:t>
            </m:r>
          </m:sub>
        </m:sSub>
      </m:oMath>
      <w:r>
        <w:t xml:space="preserve"> </w:t>
      </w:r>
      <w:r>
        <w:t xml:space="preserve">be the treated area’s crime count in pre-intervention month</w:t>
      </w:r>
      <w:r>
        <w:t xml:space="preserve"> </w:t>
      </w:r>
      <m:oMath>
        <m:r>
          <m:t>t</m:t>
        </m:r>
        <m:r>
          <m:rPr>
            <m:sty m:val="p"/>
          </m:rPr>
          <m:t>=</m:t>
        </m:r>
        <m:r>
          <m:t>1</m:t>
        </m:r>
        <m:r>
          <m:rPr>
            <m:sty m:val="p"/>
          </m:rPr>
          <m:t>,</m:t>
        </m:r>
        <m:r>
          <m:rPr>
            <m:sty m:val="p"/>
          </m:rPr>
          <m:t>…</m:t>
        </m:r>
        <m:r>
          <m:rPr>
            <m:sty m:val="p"/>
          </m:rPr>
          <m:t>,</m:t>
        </m:r>
        <m:r>
          <m:t>P</m:t>
        </m:r>
      </m:oMath>
      <w:r>
        <w:t xml:space="preserve"> </w:t>
      </w:r>
      <w:r>
        <w:t xml:space="preserve">and</w:t>
      </w:r>
      <w:r>
        <w:t xml:space="preserve"> </w:t>
      </w:r>
      <m:oMath>
        <m:sSub>
          <m:e>
            <m:r>
              <m:t>x</m:t>
            </m:r>
          </m:e>
          <m:sub>
            <m:r>
              <m:t>i</m:t>
            </m:r>
            <m:r>
              <m:t>t</m:t>
            </m:r>
          </m:sub>
        </m:sSub>
      </m:oMath>
      <w:r>
        <w:t xml:space="preserve"> </w:t>
      </w:r>
      <w:r>
        <w:t xml:space="preserve">unit</w:t>
      </w:r>
      <w:r>
        <w:t xml:space="preserve"> </w:t>
      </w:r>
      <m:oMath>
        <m:r>
          <m:t>i</m:t>
        </m:r>
      </m:oMath>
      <w:r>
        <w:t xml:space="preserve">’s. For a candidate control area</w:t>
      </w:r>
      <w:r>
        <w:t xml:space="preserve"> </w:t>
      </w:r>
      <m:oMath>
        <m:r>
          <m:t>S</m:t>
        </m:r>
      </m:oMath>
      <w:r>
        <w:t xml:space="preserve"> </w:t>
      </w:r>
      <w:r>
        <w:t xml:space="preserve">the monthly gap is</w:t>
      </w:r>
    </w:p>
    <w:p>
      <w:pPr>
        <w:pStyle w:val="BodyText"/>
      </w:pPr>
      <m:oMathPara>
        <m:oMathParaPr>
          <m:jc m:val="center"/>
        </m:oMathParaPr>
        <m:oMath>
          <m:sSub>
            <m:e>
              <m:r>
                <m:t>D</m:t>
              </m:r>
            </m:e>
            <m:sub>
              <m:r>
                <m:t>t</m:t>
              </m:r>
            </m:sub>
          </m:sSub>
          <m:d>
            <m:dPr>
              <m:begChr m:val="("/>
              <m:endChr m:val=")"/>
              <m:sepChr m:val=""/>
              <m:grow/>
            </m:dPr>
            <m:e>
              <m:r>
                <m:t>S</m:t>
              </m:r>
            </m:e>
          </m:d>
          <m:r>
            <m:rPr>
              <m:sty m:val="p"/>
            </m:rPr>
            <m:t>=</m:t>
          </m:r>
          <m:nary>
            <m:naryPr>
              <m:chr m:val="∑"/>
              <m:limLoc m:val="undOvr"/>
              <m:subHide m:val="off"/>
              <m:supHide m:val="on"/>
            </m:naryPr>
            <m:sub>
              <m:r>
                <m:t>i</m:t>
              </m:r>
              <m:r>
                <m:rPr>
                  <m:sty m:val="p"/>
                </m:rPr>
                <m:t>∈</m:t>
              </m:r>
              <m:r>
                <m:t>S</m:t>
              </m:r>
            </m:sub>
            <m:sup>
              <m:r>
                <m:t>​</m:t>
              </m:r>
            </m:sup>
            <m:e>
              <m:sSub>
                <m:e>
                  <m:r>
                    <m:t>x</m:t>
                  </m:r>
                </m:e>
                <m:sub>
                  <m:r>
                    <m:t>i</m:t>
                  </m:r>
                  <m:r>
                    <m:t>t</m:t>
                  </m:r>
                </m:sub>
              </m:sSub>
            </m:e>
          </m:nary>
          <m:r>
            <m:rPr>
              <m:sty m:val="p"/>
            </m:rPr>
            <m:t>−</m:t>
          </m:r>
          <m:r>
            <m:t>k</m:t>
          </m:r>
          <m:r>
            <m:t> </m:t>
          </m:r>
          <m:sSub>
            <m:e>
              <m:r>
                <m:t>y</m:t>
              </m:r>
            </m:e>
            <m:sub>
              <m:r>
                <m:t>t</m:t>
              </m:r>
            </m:sub>
          </m:sSub>
          <m:r>
            <m:rPr>
              <m:sty m:val="p"/>
            </m:rPr>
            <m:t>.</m:t>
          </m:r>
        </m:oMath>
      </m:oMathPara>
    </w:p>
    <w:p>
      <w:pPr>
        <w:pStyle w:val="FirstParagraph"/>
      </w:pPr>
      <w:r>
        <w:t xml:space="preserve">I use</w:t>
      </w:r>
      <w:r>
        <w:t xml:space="preserve"> </w:t>
      </w:r>
      <m:oMath>
        <m:r>
          <m:t>k</m:t>
        </m:r>
        <m:r>
          <m:rPr>
            <m:sty m:val="p"/>
          </m:rPr>
          <m:t>=</m:t>
        </m:r>
        <m:r>
          <m:t>1</m:t>
        </m:r>
      </m:oMath>
      <w:r>
        <w:t xml:space="preserve"> </w:t>
      </w:r>
      <w:r>
        <w:t xml:space="preserve">throughout, so the control area should have the same crime as</w:t>
      </w:r>
      <w:r>
        <w:t xml:space="preserve"> </w:t>
      </w:r>
      <w:r>
        <w:t xml:space="preserve">the treated area in every month, which matches both the volume and the</w:t>
      </w:r>
      <w:r>
        <w:t xml:space="preserve"> </w:t>
      </w:r>
      <w:r>
        <w:t xml:space="preserve">trend.</w:t>
      </w:r>
    </w:p>
    <w:bookmarkEnd w:id="25"/>
    <w:bookmarkStart w:id="26" w:name="how-close-a-match-to-ask-for"/>
    <w:p>
      <w:pPr>
        <w:pStyle w:val="Heading2"/>
      </w:pPr>
      <w:r>
        <w:t xml:space="preserve">3.2 How close a match to ask for</w:t>
      </w:r>
    </w:p>
    <w:p>
      <w:pPr>
        <w:pStyle w:val="FirstParagraph"/>
      </w:pPr>
      <w:r>
        <w:t xml:space="preserve">The obvious objective is to minimize the total absolute gap</w:t>
      </w:r>
      <w:r>
        <w:t xml:space="preserve"> </w:t>
      </w:r>
      <m:oMath>
        <m:r>
          <m:t>F</m:t>
        </m:r>
        <m:d>
          <m:dPr>
            <m:begChr m:val="("/>
            <m:endChr m:val=")"/>
            <m:sepChr m:val=""/>
            <m:grow/>
          </m:dPr>
          <m:e>
            <m:r>
              <m:t>S</m:t>
            </m:r>
          </m:e>
        </m:d>
        <m:r>
          <m:rPr>
            <m:sty m:val="p"/>
          </m:rPr>
          <m:t>=</m:t>
        </m:r>
        <m:nary>
          <m:naryPr>
            <m:chr m:val="∑"/>
            <m:limLoc m:val="undOvr"/>
            <m:subHide m:val="off"/>
            <m:supHide m:val="on"/>
          </m:naryPr>
          <m:sub>
            <m:r>
              <m:t>t</m:t>
            </m:r>
          </m:sub>
          <m:sup>
            <m:r>
              <m:t>​</m:t>
            </m:r>
          </m:sup>
          <m:e>
            <m:d>
              <m:dPr>
                <m:begChr m:val="|"/>
                <m:endChr m:val="|"/>
                <m:sepChr m:val=""/>
                <m:grow/>
              </m:dPr>
              <m:e>
                <m:sSub>
                  <m:e>
                    <m:r>
                      <m:t>D</m:t>
                    </m:r>
                  </m:e>
                  <m:sub>
                    <m:r>
                      <m:t>t</m:t>
                    </m:r>
                  </m:sub>
                </m:sSub>
                <m:d>
                  <m:dPr>
                    <m:begChr m:val="("/>
                    <m:endChr m:val=")"/>
                    <m:sepChr m:val=""/>
                    <m:grow/>
                  </m:dPr>
                  <m:e>
                    <m:r>
                      <m:t>S</m:t>
                    </m:r>
                  </m:e>
                </m:d>
              </m:e>
            </m:d>
          </m:e>
        </m:nary>
      </m:oMath>
      <w:r>
        <w:t xml:space="preserve">. With thousands of units there are astronomically</w:t>
      </w:r>
      <w:r>
        <w:t xml:space="preserve"> </w:t>
      </w:r>
      <w:r>
        <w:t xml:space="preserve">many connected areas, and the best one fits the treated series more closely</w:t>
      </w:r>
      <w:r>
        <w:t xml:space="preserve"> </w:t>
      </w:r>
      <w:r>
        <w:t xml:space="preserve">than its noise allows. Suppose instead a control’s expected counts were</w:t>
      </w:r>
      <w:r>
        <w:t xml:space="preserve"> </w:t>
      </w:r>
      <w:r>
        <w:t xml:space="preserve">exactly</w:t>
      </w:r>
      <w:r>
        <w:t xml:space="preserve"> </w:t>
      </w:r>
      <m:oMath>
        <m:r>
          <m:t>k</m:t>
        </m:r>
      </m:oMath>
      <w:r>
        <w:t xml:space="preserve"> </w:t>
      </w:r>
      <w:r>
        <w:t xml:space="preserve">times the treated area’s expected counts</w:t>
      </w:r>
      <w:r>
        <w:t xml:space="preserve"> </w:t>
      </w:r>
      <m:oMath>
        <m:sSub>
          <m:e>
            <m:r>
              <m:t>μ</m:t>
            </m:r>
          </m:e>
          <m:sub>
            <m:r>
              <m:t>t</m:t>
            </m:r>
          </m:sub>
        </m:sSub>
      </m:oMath>
      <w:r>
        <w:t xml:space="preserve">. The gap would</w:t>
      </w:r>
      <w:r>
        <w:t xml:space="preserve"> </w:t>
      </w:r>
      <w:r>
        <w:t xml:space="preserve">still have variance</w:t>
      </w:r>
      <w:r>
        <w:t xml:space="preserve"> </w:t>
      </w:r>
      <m:oMath>
        <m:sSub>
          <m:e>
            <m:r>
              <m:t>v</m:t>
            </m:r>
          </m:e>
          <m:sub>
            <m:r>
              <m:t>t</m:t>
            </m:r>
          </m:sub>
        </m:sSub>
        <m:r>
          <m:rPr>
            <m:sty m:val="p"/>
          </m:rPr>
          <m:t>=</m:t>
        </m:r>
        <m:r>
          <m:t>ϕ</m:t>
        </m:r>
        <m:d>
          <m:dPr>
            <m:begChr m:val="("/>
            <m:endChr m:val=")"/>
            <m:sepChr m:val=""/>
            <m:grow/>
          </m:dPr>
          <m:e>
            <m:r>
              <m:t>k</m:t>
            </m:r>
            <m:r>
              <m:rPr>
                <m:sty m:val="p"/>
              </m:rPr>
              <m:t>+</m:t>
            </m:r>
            <m:sSup>
              <m:e>
                <m:r>
                  <m:t>k</m:t>
                </m:r>
              </m:e>
              <m:sup>
                <m:r>
                  <m:t>2</m:t>
                </m:r>
              </m:sup>
            </m:sSup>
          </m:e>
        </m:d>
        <m:sSub>
          <m:e>
            <m:r>
              <m:t>μ</m:t>
            </m:r>
          </m:e>
          <m:sub>
            <m:r>
              <m:t>t</m:t>
            </m:r>
          </m:sub>
        </m:sSub>
      </m:oMath>
      <w:r>
        <w:t xml:space="preserve">, where</w:t>
      </w:r>
      <w:r>
        <w:t xml:space="preserve"> </w:t>
      </w:r>
      <m:oMath>
        <m:r>
          <m:t>ϕ</m:t>
        </m:r>
        <m:r>
          <m:rPr>
            <m:sty m:val="p"/>
          </m:rPr>
          <m:t>=</m:t>
        </m:r>
        <m:r>
          <m:t>1</m:t>
        </m:r>
      </m:oMath>
      <w:r>
        <w:t xml:space="preserve"> </w:t>
      </w:r>
      <w:r>
        <w:t xml:space="preserve">for</w:t>
      </w:r>
      <w:r>
        <w:t xml:space="preserve"> </w:t>
      </w:r>
      <w:r>
        <w:t xml:space="preserve">Poisson counts and</w:t>
      </w:r>
      <w:r>
        <w:t xml:space="preserve"> </w:t>
      </w:r>
      <m:oMath>
        <m:r>
          <m:t>ϕ</m:t>
        </m:r>
        <m:r>
          <m:rPr>
            <m:sty m:val="p"/>
          </m:rPr>
          <m:t>&gt;</m:t>
        </m:r>
        <m:r>
          <m:t>1</m:t>
        </m:r>
      </m:oMath>
      <w:r>
        <w:t xml:space="preserve"> </w:t>
      </w:r>
      <w:r>
        <w:t xml:space="preserve">for overdispersed counts, and expected</w:t>
      </w:r>
      <w:r>
        <w:t xml:space="preserve"> </w:t>
      </w:r>
      <w:r>
        <w:t xml:space="preserve">absolute value about</w:t>
      </w:r>
      <w:r>
        <w:t xml:space="preserve"> </w:t>
      </w:r>
      <m:oMath>
        <m:rad>
          <m:radPr>
            <m:degHide m:val="on"/>
          </m:radPr>
          <m:deg/>
          <m:e>
            <m:r>
              <m:t>2</m:t>
            </m:r>
            <m:sSub>
              <m:e>
                <m:r>
                  <m:t>v</m:t>
                </m:r>
              </m:e>
              <m:sub>
                <m:r>
                  <m:t>t</m:t>
                </m:r>
              </m:sub>
            </m:sSub>
            <m:r>
              <m:rPr>
                <m:sty m:val="p"/>
              </m:rPr>
              <m:t>/</m:t>
            </m:r>
            <m:r>
              <m:t>π</m:t>
            </m:r>
          </m:e>
        </m:rad>
      </m:oMath>
      <w:r>
        <w:t xml:space="preserve">. I estimate</w:t>
      </w:r>
      <w:r>
        <w:t xml:space="preserve"> </w:t>
      </w:r>
      <m:oMath>
        <m:sSub>
          <m:e>
            <m:r>
              <m:t>μ</m:t>
            </m:r>
          </m:e>
          <m:sub>
            <m:r>
              <m:t>t</m:t>
            </m:r>
          </m:sub>
        </m:sSub>
      </m:oMath>
      <w:r>
        <w:t xml:space="preserve"> </w:t>
      </w:r>
      <w:r>
        <w:t xml:space="preserve">by</w:t>
      </w:r>
      <w:r>
        <w:t xml:space="preserve"> </w:t>
      </w:r>
      <m:oMath>
        <m:sSub>
          <m:e>
            <m:r>
              <m:t>y</m:t>
            </m:r>
          </m:e>
          <m:sub>
            <m:r>
              <m:t>t</m:t>
            </m:r>
          </m:sub>
        </m:sSub>
      </m:oMath>
      <w:r>
        <w:t xml:space="preserve"> </w:t>
      </w:r>
      <w:r>
        <w:t xml:space="preserve">and</w:t>
      </w:r>
      <w:r>
        <w:t xml:space="preserve"> </w:t>
      </w:r>
      <m:oMath>
        <m:r>
          <m:t>ϕ</m:t>
        </m:r>
      </m:oMath>
      <w:r>
        <w:t xml:space="preserve"> </w:t>
      </w:r>
      <w:r>
        <w:t xml:space="preserve">by the treated series’ Pearson dispersion around its seven-month</w:t>
      </w:r>
      <w:r>
        <w:t xml:space="preserve"> </w:t>
      </w:r>
      <w:r>
        <w:t xml:space="preserve">centered moving average (at least one). Monthly crime counts for small</w:t>
      </w:r>
      <w:r>
        <w:t xml:space="preserve"> </w:t>
      </w:r>
      <w:r>
        <w:t xml:space="preserve">areas are often overdispersed, and with pure Poisson thresholds few areas</w:t>
      </w:r>
      <w:r>
        <w:t xml:space="preserve"> </w:t>
      </w:r>
      <w:r>
        <w:t xml:space="preserve">pass for the more variable series. A control area</w:t>
      </w:r>
      <w:r>
        <w:t xml:space="preserve"> </w:t>
      </w:r>
      <w:r>
        <w:rPr>
          <w:iCs/>
          <w:i/>
        </w:rPr>
        <w:t xml:space="preserve">passes</w:t>
      </w:r>
      <w:r>
        <w:t xml:space="preserve"> </w:t>
      </w:r>
      <w:r>
        <w:t xml:space="preserve">if all four of</w:t>
      </w:r>
      <w:r>
        <w:t xml:space="preserve"> </w:t>
      </w:r>
      <w:r>
        <w:t xml:space="preserve">these summaries are within what a perfect match would produce:</w:t>
      </w:r>
    </w:p>
    <w:p>
      <w:pPr>
        <w:numPr>
          <w:ilvl w:val="0"/>
          <w:numId w:val="1001"/>
        </w:numPr>
        <w:pStyle w:val="Compact"/>
      </w:pPr>
      <w:r>
        <w:t xml:space="preserve">the monthly fit</w:t>
      </w:r>
      <w:r>
        <w:t xml:space="preserve"> </w:t>
      </w:r>
      <m:oMath>
        <m:nary>
          <m:naryPr>
            <m:chr m:val="∑"/>
            <m:limLoc m:val="undOvr"/>
            <m:subHide m:val="off"/>
            <m:supHide m:val="on"/>
          </m:naryPr>
          <m:sub>
            <m:r>
              <m:t>t</m:t>
            </m:r>
          </m:sub>
          <m:sup>
            <m:r>
              <m:t>​</m:t>
            </m:r>
          </m:sup>
          <m:e>
            <m:d>
              <m:dPr>
                <m:begChr m:val="|"/>
                <m:endChr m:val="|"/>
                <m:sepChr m:val=""/>
                <m:grow/>
              </m:dPr>
              <m:e>
                <m:sSub>
                  <m:e>
                    <m:r>
                      <m:t>D</m:t>
                    </m:r>
                  </m:e>
                  <m:sub>
                    <m:r>
                      <m:t>t</m:t>
                    </m:r>
                  </m:sub>
                </m:sSub>
              </m:e>
            </m:d>
          </m:e>
        </m:nary>
      </m:oMath>
      <w:r>
        <w:t xml:space="preserve"> </w:t>
      </w:r>
      <w:r>
        <w:t xml:space="preserve">is at most</w:t>
      </w:r>
      <w:r>
        <w:t xml:space="preserve"> </w:t>
      </w:r>
      <m:oMath>
        <m:r>
          <m:t>τ</m:t>
        </m:r>
        <m:r>
          <m:rPr>
            <m:sty m:val="p"/>
          </m:rPr>
          <m:t>=</m:t>
        </m:r>
        <m:nary>
          <m:naryPr>
            <m:chr m:val="∑"/>
            <m:limLoc m:val="undOvr"/>
            <m:subHide m:val="off"/>
            <m:supHide m:val="on"/>
          </m:naryPr>
          <m:sub>
            <m:r>
              <m:t>t</m:t>
            </m:r>
          </m:sub>
          <m:sup>
            <m:r>
              <m:t>​</m:t>
            </m:r>
          </m:sup>
          <m:e>
            <m:rad>
              <m:radPr>
                <m:degHide m:val="on"/>
              </m:radPr>
              <m:deg/>
              <m:e>
                <m:r>
                  <m:t>2</m:t>
                </m:r>
                <m:sSub>
                  <m:e>
                    <m:r>
                      <m:t>v</m:t>
                    </m:r>
                  </m:e>
                  <m:sub>
                    <m:r>
                      <m:t>t</m:t>
                    </m:r>
                  </m:sub>
                </m:sSub>
                <m:r>
                  <m:rPr>
                    <m:sty m:val="p"/>
                  </m:rPr>
                  <m:t>/</m:t>
                </m:r>
                <m:r>
                  <m:t>π</m:t>
                </m:r>
              </m:e>
            </m:rad>
          </m:e>
        </m:nary>
      </m:oMath>
      <w:r>
        <w:t xml:space="preserve">;</w:t>
      </w:r>
    </w:p>
    <w:p>
      <w:pPr>
        <w:numPr>
          <w:ilvl w:val="0"/>
          <w:numId w:val="1001"/>
        </w:numPr>
        <w:pStyle w:val="Compact"/>
      </w:pPr>
      <w:r>
        <w:t xml:space="preserve">the six-month fit</w:t>
      </w:r>
      <w:r>
        <w:t xml:space="preserve"> </w:t>
      </w:r>
      <m:oMath>
        <m:nary>
          <m:naryPr>
            <m:chr m:val="∑"/>
            <m:limLoc m:val="undOvr"/>
            <m:subHide m:val="off"/>
            <m:supHide m:val="on"/>
          </m:naryPr>
          <m:sub>
            <m:r>
              <m:t>b</m:t>
            </m:r>
          </m:sub>
          <m:sup>
            <m:r>
              <m:t>​</m:t>
            </m:r>
          </m:sup>
          <m:e>
            <m:d>
              <m:dPr>
                <m:begChr m:val="|"/>
                <m:endChr m:val="|"/>
                <m:sepChr m:val=""/>
                <m:grow/>
              </m:dPr>
              <m:e>
                <m:nary>
                  <m:naryPr>
                    <m:chr m:val="∑"/>
                    <m:limLoc m:val="undOvr"/>
                    <m:subHide m:val="off"/>
                    <m:supHide m:val="on"/>
                  </m:naryPr>
                  <m:sub>
                    <m:r>
                      <m:t>t</m:t>
                    </m:r>
                    <m:r>
                      <m:rPr>
                        <m:sty m:val="p"/>
                      </m:rPr>
                      <m:t>∈</m:t>
                    </m:r>
                    <m:r>
                      <m:t>b</m:t>
                    </m:r>
                  </m:sub>
                  <m:sup>
                    <m:r>
                      <m:t>​</m:t>
                    </m:r>
                  </m:sup>
                  <m:e>
                    <m:sSub>
                      <m:e>
                        <m:r>
                          <m:t>D</m:t>
                        </m:r>
                      </m:e>
                      <m:sub>
                        <m:r>
                          <m:t>t</m:t>
                        </m:r>
                      </m:sub>
                    </m:sSub>
                  </m:e>
                </m:nary>
              </m:e>
            </m:d>
          </m:e>
        </m:nary>
      </m:oMath>
      <w:r>
        <w:t xml:space="preserve">, over consecutive six-month</w:t>
      </w:r>
      <w:r>
        <w:t xml:space="preserve"> </w:t>
      </w:r>
      <w:r>
        <w:t xml:space="preserve">blocks</w:t>
      </w:r>
      <w:r>
        <w:t xml:space="preserve"> </w:t>
      </w:r>
      <m:oMath>
        <m:r>
          <m:t>b</m:t>
        </m:r>
      </m:oMath>
      <w:r>
        <w:t xml:space="preserve"> </w:t>
      </w:r>
      <w:r>
        <w:t xml:space="preserve">ending at the intervention, is at most</w:t>
      </w:r>
      <w:r>
        <w:t xml:space="preserve"> </w:t>
      </w:r>
      <m:oMath>
        <m:sSub>
          <m:e>
            <m:r>
              <m:t>τ</m:t>
            </m:r>
          </m:e>
          <m:sub>
            <m:r>
              <m:t>6</m:t>
            </m:r>
          </m:sub>
        </m:sSub>
        <m:r>
          <m:rPr>
            <m:sty m:val="p"/>
          </m:rPr>
          <m:t>=</m:t>
        </m:r>
        <m:nary>
          <m:naryPr>
            <m:chr m:val="∑"/>
            <m:limLoc m:val="undOvr"/>
            <m:subHide m:val="off"/>
            <m:supHide m:val="on"/>
          </m:naryPr>
          <m:sub>
            <m:r>
              <m:t>b</m:t>
            </m:r>
          </m:sub>
          <m:sup>
            <m:r>
              <m:t>​</m:t>
            </m:r>
          </m:sup>
          <m:e>
            <m:rad>
              <m:radPr>
                <m:degHide m:val="on"/>
              </m:radPr>
              <m:deg/>
              <m:e>
                <m:r>
                  <m:t>2</m:t>
                </m:r>
                <m:sSub>
                  <m:e>
                    <m:r>
                      <m:t>V</m:t>
                    </m:r>
                  </m:e>
                  <m:sub>
                    <m:r>
                      <m:t>b</m:t>
                    </m:r>
                  </m:sub>
                </m:sSub>
                <m:r>
                  <m:rPr>
                    <m:sty m:val="p"/>
                  </m:rPr>
                  <m:t>/</m:t>
                </m:r>
                <m:r>
                  <m:t>π</m:t>
                </m:r>
              </m:e>
            </m:rad>
          </m:e>
        </m:nary>
      </m:oMath>
      <w:r>
        <w:t xml:space="preserve"> </w:t>
      </w:r>
      <w:r>
        <w:t xml:space="preserve">with</w:t>
      </w:r>
      <w:r>
        <w:t xml:space="preserve"> </w:t>
      </w:r>
      <m:oMath>
        <m:sSub>
          <m:e>
            <m:r>
              <m:t>V</m:t>
            </m:r>
          </m:e>
          <m:sub>
            <m:r>
              <m:t>b</m:t>
            </m:r>
          </m:sub>
        </m:sSub>
        <m:r>
          <m:rPr>
            <m:sty m:val="p"/>
          </m:rPr>
          <m:t>=</m:t>
        </m:r>
        <m:nary>
          <m:naryPr>
            <m:chr m:val="∑"/>
            <m:limLoc m:val="undOvr"/>
            <m:subHide m:val="off"/>
            <m:supHide m:val="on"/>
          </m:naryPr>
          <m:sub>
            <m:r>
              <m:t>t</m:t>
            </m:r>
            <m:r>
              <m:rPr>
                <m:sty m:val="p"/>
              </m:rPr>
              <m:t>∈</m:t>
            </m:r>
            <m:r>
              <m:t>b</m:t>
            </m:r>
          </m:sub>
          <m:sup>
            <m:r>
              <m:t>​</m:t>
            </m:r>
          </m:sup>
          <m:e>
            <m:sSub>
              <m:e>
                <m:r>
                  <m:t>v</m:t>
                </m:r>
              </m:e>
              <m:sub>
                <m:r>
                  <m:t>t</m:t>
                </m:r>
              </m:sub>
            </m:sSub>
          </m:e>
        </m:nary>
      </m:oMath>
      <w:r>
        <w:t xml:space="preserve">, so the</w:t>
      </w:r>
      <w:r>
        <w:t xml:space="preserve"> </w:t>
      </w:r>
      <w:r>
        <w:t xml:space="preserve">two series also track each other over the medium term, where a plot’s</w:t>
      </w:r>
      <w:r>
        <w:t xml:space="preserve"> </w:t>
      </w:r>
      <w:r>
        <w:t xml:space="preserve">smoothed lines would show a drift that monthly noise hides;</w:t>
      </w:r>
    </w:p>
    <w:p>
      <w:pPr>
        <w:numPr>
          <w:ilvl w:val="0"/>
          <w:numId w:val="1001"/>
        </w:numPr>
        <w:pStyle w:val="Compact"/>
      </w:pPr>
      <w:r>
        <w:t xml:space="preserve">the level gap</w:t>
      </w:r>
      <w:r>
        <w:t xml:space="preserve"> </w:t>
      </w:r>
      <m:oMath>
        <m:d>
          <m:dPr>
            <m:begChr m:val="|"/>
            <m:endChr m:val="|"/>
            <m:sepChr m:val=""/>
            <m:grow/>
          </m:dPr>
          <m:e>
            <m:nary>
              <m:naryPr>
                <m:chr m:val="∑"/>
                <m:limLoc m:val="undOvr"/>
                <m:subHide m:val="off"/>
                <m:supHide m:val="on"/>
              </m:naryPr>
              <m:sub>
                <m:r>
                  <m:t>t</m:t>
                </m:r>
              </m:sub>
              <m:sup>
                <m:r>
                  <m:t>​</m:t>
                </m:r>
              </m:sup>
              <m:e>
                <m:sSub>
                  <m:e>
                    <m:r>
                      <m:t>D</m:t>
                    </m:r>
                  </m:e>
                  <m:sub>
                    <m:r>
                      <m:t>t</m:t>
                    </m:r>
                  </m:sub>
                </m:sSub>
              </m:e>
            </m:nary>
          </m:e>
        </m:d>
      </m:oMath>
      <w:r>
        <w:t xml:space="preserve"> </w:t>
      </w:r>
      <w:r>
        <w:t xml:space="preserve">is at most one standard deviation,</w:t>
      </w:r>
      <w:r>
        <w:t xml:space="preserve"> </w:t>
      </w:r>
      <m:oMath>
        <m:rad>
          <m:radPr>
            <m:degHide m:val="on"/>
          </m:radPr>
          <m:deg/>
          <m:e>
            <m:nary>
              <m:naryPr>
                <m:chr m:val="∑"/>
                <m:limLoc m:val="undOvr"/>
                <m:subHide m:val="off"/>
                <m:supHide m:val="on"/>
              </m:naryPr>
              <m:sub>
                <m:r>
                  <m:t>t</m:t>
                </m:r>
              </m:sub>
              <m:sup>
                <m:r>
                  <m:t>​</m:t>
                </m:r>
              </m:sup>
              <m:e>
                <m:sSub>
                  <m:e>
                    <m:r>
                      <m:t>v</m:t>
                    </m:r>
                  </m:e>
                  <m:sub>
                    <m:r>
                      <m:t>t</m:t>
                    </m:r>
                  </m:sub>
                </m:sSub>
              </m:e>
            </m:nary>
          </m:e>
        </m:rad>
      </m:oMath>
      <w:r>
        <w:t xml:space="preserve">;</w:t>
      </w:r>
    </w:p>
    <w:p>
      <w:pPr>
        <w:numPr>
          <w:ilvl w:val="0"/>
          <w:numId w:val="1001"/>
        </w:numPr>
        <w:pStyle w:val="Compact"/>
      </w:pPr>
      <w:r>
        <w:t xml:space="preserve">the trend gap</w:t>
      </w:r>
      <w:r>
        <w:t xml:space="preserve"> </w:t>
      </w:r>
      <m:oMath>
        <m:d>
          <m:dPr>
            <m:begChr m:val="|"/>
            <m:endChr m:val="|"/>
            <m:sepChr m:val=""/>
            <m:grow/>
          </m:dPr>
          <m:e>
            <m:nary>
              <m:naryPr>
                <m:chr m:val="∑"/>
                <m:limLoc m:val="undOvr"/>
                <m:subHide m:val="off"/>
                <m:supHide m:val="on"/>
              </m:naryPr>
              <m:sub>
                <m:r>
                  <m:t>t</m:t>
                </m:r>
              </m:sub>
              <m:sup>
                <m:r>
                  <m:t>​</m:t>
                </m:r>
              </m:sup>
              <m:e>
                <m:d>
                  <m:dPr>
                    <m:begChr m:val="("/>
                    <m:endChr m:val=")"/>
                    <m:sepChr m:val=""/>
                    <m:grow/>
                  </m:dPr>
                  <m:e>
                    <m:r>
                      <m:t>t</m:t>
                    </m:r>
                    <m:r>
                      <m:rPr>
                        <m:sty m:val="p"/>
                      </m:rPr>
                      <m:t>−</m:t>
                    </m:r>
                    <m:acc>
                      <m:accPr>
                        <m:chr m:val="‾"/>
                      </m:accPr>
                      <m:e>
                        <m:r>
                          <m:t>t</m:t>
                        </m:r>
                      </m:e>
                    </m:acc>
                  </m:e>
                </m:d>
              </m:e>
            </m:nary>
            <m:sSub>
              <m:e>
                <m:r>
                  <m:t>D</m:t>
                </m:r>
              </m:e>
              <m:sub>
                <m:r>
                  <m:t>t</m:t>
                </m:r>
              </m:sub>
            </m:sSub>
          </m:e>
        </m:d>
      </m:oMath>
      <w:r>
        <w:t xml:space="preserve"> </w:t>
      </w:r>
      <w:r>
        <w:t xml:space="preserve">is at most one standard</w:t>
      </w:r>
      <w:r>
        <w:t xml:space="preserve"> </w:t>
      </w:r>
      <w:r>
        <w:t xml:space="preserve">deviation,</w:t>
      </w:r>
      <w:r>
        <w:t xml:space="preserve"> </w:t>
      </w:r>
      <m:oMath>
        <m:rad>
          <m:radPr>
            <m:degHide m:val="on"/>
          </m:radPr>
          <m:deg/>
          <m:e>
            <m:nary>
              <m:naryPr>
                <m:chr m:val="∑"/>
                <m:limLoc m:val="undOvr"/>
                <m:subHide m:val="off"/>
                <m:supHide m:val="on"/>
              </m:naryPr>
              <m:sub>
                <m:r>
                  <m:t>t</m:t>
                </m:r>
              </m:sub>
              <m:sup>
                <m:r>
                  <m:t>​</m:t>
                </m:r>
              </m:sup>
              <m:e>
                <m:sSup>
                  <m:e>
                    <m:d>
                      <m:dPr>
                        <m:begChr m:val="("/>
                        <m:endChr m:val=")"/>
                        <m:sepChr m:val=""/>
                        <m:grow/>
                      </m:dPr>
                      <m:e>
                        <m:r>
                          <m:t>t</m:t>
                        </m:r>
                        <m:r>
                          <m:rPr>
                            <m:sty m:val="p"/>
                          </m:rPr>
                          <m:t>−</m:t>
                        </m:r>
                        <m:acc>
                          <m:accPr>
                            <m:chr m:val="‾"/>
                          </m:accPr>
                          <m:e>
                            <m:r>
                              <m:t>t</m:t>
                            </m:r>
                          </m:e>
                        </m:acc>
                      </m:e>
                    </m:d>
                  </m:e>
                  <m:sup>
                    <m:r>
                      <m:t>2</m:t>
                    </m:r>
                  </m:sup>
                </m:sSup>
              </m:e>
            </m:nary>
            <m:sSub>
              <m:e>
                <m:r>
                  <m:t>v</m:t>
                </m:r>
              </m:e>
              <m:sub>
                <m:r>
                  <m:t>t</m:t>
                </m:r>
              </m:sub>
            </m:sSub>
          </m:e>
        </m:rad>
      </m:oMath>
      <w:r>
        <w:t xml:space="preserve">.</w:t>
      </w:r>
    </w:p>
    <w:p>
      <w:pPr>
        <w:pStyle w:val="FirstParagraph"/>
      </w:pPr>
      <w:r>
        <w:t xml:space="preserve">The violation of an area is the largest of the four ratios of a summary to</w:t>
      </w:r>
      <w:r>
        <w:t xml:space="preserve"> </w:t>
      </w:r>
      <w:r>
        <w:t xml:space="preserve">its threshold, so an area passes when its violation is at most one.</w:t>
      </w:r>
    </w:p>
    <w:p>
      <w:pPr>
        <w:pStyle w:val="BodyText"/>
      </w:pPr>
      <w:r>
        <w:t xml:space="preserve">Among passing areas the method picks the one nearest the treated area. Nearby</w:t>
      </w:r>
      <w:r>
        <w:t xml:space="preserve"> </w:t>
      </w:r>
      <w:r>
        <w:t xml:space="preserve">places share more of the unmeasured things that drive crime trends, and</w:t>
      </w:r>
      <w:r>
        <w:t xml:space="preserve"> </w:t>
      </w:r>
      <w:r>
        <w:t xml:space="preserve">analysts already reach for nearby comparison areas. The search also reports</w:t>
      </w:r>
      <w:r>
        <w:t xml:space="preserve"> </w:t>
      </w:r>
      <w:r>
        <w:t xml:space="preserve">the next-best distinct passing areas, so the analyst can see how much the</w:t>
      </w:r>
      <w:r>
        <w:t xml:space="preserve"> </w:t>
      </w:r>
      <w:r>
        <w:t xml:space="preserve">estimate depends on the choice and can bring local knowledge to it. If no</w:t>
      </w:r>
      <w:r>
        <w:t xml:space="preserve"> </w:t>
      </w:r>
      <w:r>
        <w:t xml:space="preserve">area passes, the search returns the area with the smallest violation.</w:t>
      </w:r>
    </w:p>
    <w:bookmarkEnd w:id="26"/>
    <w:bookmarkStart w:id="27" w:name="the-search"/>
    <w:p>
      <w:pPr>
        <w:pStyle w:val="Heading2"/>
      </w:pPr>
      <w:r>
        <w:t xml:space="preserve">3.3 The search</w:t>
      </w:r>
    </w:p>
    <w:p>
      <w:pPr>
        <w:pStyle w:val="FirstParagraph"/>
      </w:pPr>
      <w:r>
        <w:rPr>
          <w:iCs/>
          <w:i/>
        </w:rPr>
        <w:t xml:space="preserve">Windows.</w:t>
      </w:r>
      <w:r>
        <w:t xml:space="preserve"> </w:t>
      </w:r>
      <w:r>
        <w:t xml:space="preserve">From a center unit</w:t>
      </w:r>
      <w:r>
        <w:t xml:space="preserve"> </w:t>
      </w:r>
      <m:oMath>
        <m:r>
          <m:t>c</m:t>
        </m:r>
      </m:oMath>
      <w:r>
        <w:t xml:space="preserve">, order candidate units by their</w:t>
      </w:r>
      <w:r>
        <w:t xml:space="preserve"> </w:t>
      </w:r>
      <w:r>
        <w:t xml:space="preserve">shortest-path distance</w:t>
      </w:r>
      <w:r>
        <w:t xml:space="preserve"> </w:t>
      </w:r>
      <m:oMath>
        <m:sSub>
          <m:e>
            <m:r>
              <m:t>d</m:t>
            </m:r>
          </m:e>
          <m:sub>
            <m:r>
              <m:t>c</m:t>
            </m:r>
          </m:sub>
        </m:sSub>
        <m:d>
          <m:dPr>
            <m:begChr m:val="("/>
            <m:endChr m:val=")"/>
            <m:sepChr m:val=""/>
            <m:grow/>
          </m:dPr>
          <m:e>
            <m:r>
              <m:t>i</m:t>
            </m:r>
          </m:e>
        </m:d>
      </m:oMath>
      <w:r>
        <w:t xml:space="preserve"> </w:t>
      </w:r>
      <w:r>
        <w:t xml:space="preserve">through the adjacency graph, where each edge</w:t>
      </w:r>
      <w:r>
        <w:t xml:space="preserve"> </w:t>
      </w:r>
      <w:r>
        <w:t xml:space="preserve">is as long as the distance between the two units’ centers. The window</w:t>
      </w:r>
      <w:r>
        <w:t xml:space="preserve"> </w:t>
      </w:r>
      <m:oMath>
        <m:sSub>
          <m:e>
            <m:r>
              <m:t>W</m:t>
            </m:r>
          </m:e>
          <m:sub>
            <m:r>
              <m:t>c</m:t>
            </m:r>
          </m:sub>
        </m:sSub>
      </m:oMath>
      <w:r>
        <w:t xml:space="preserve"> </w:t>
      </w:r>
      <w:r>
        <w:t xml:space="preserve">is the nearest units holding three times the treated area’s pre-period</w:t>
      </w:r>
      <w:r>
        <w:t xml:space="preserve"> </w:t>
      </w:r>
      <w:r>
        <w:t xml:space="preserve">crime (at most 600 units), enough room to choose from. Every candidate unit</w:t>
      </w:r>
      <w:r>
        <w:t xml:space="preserve"> </w:t>
      </w:r>
      <w:r>
        <w:t xml:space="preserve">with any crime can be a center; in the case studies I thin centers to one</w:t>
      </w:r>
      <w:r>
        <w:t xml:space="preserve"> </w:t>
      </w:r>
      <w:r>
        <w:t xml:space="preserve">per 800-foot grid cell, since windows centered on neighboring blocks are</w:t>
      </w:r>
      <w:r>
        <w:t xml:space="preserve"> </w:t>
      </w:r>
      <w:r>
        <w:t xml:space="preserve">nearly identical.</w:t>
      </w:r>
    </w:p>
    <w:p>
      <w:pPr>
        <w:pStyle w:val="BodyText"/>
      </w:pPr>
      <w:r>
        <w:rPr>
          <w:iCs/>
          <w:i/>
        </w:rPr>
        <w:t xml:space="preserve">Screening.</w:t>
      </w:r>
      <w:r>
        <w:t xml:space="preserve"> </w:t>
      </w:r>
      <w:r>
        <w:t xml:space="preserve">Two quick fits are computed in every window. The pure scan</w:t>
      </w:r>
      <w:r>
        <w:t xml:space="preserve"> </w:t>
      </w:r>
      <w:r>
        <w:t xml:space="preserve">takes the shortest prefix of the distance ordering that passes (or the</w:t>
      </w:r>
      <w:r>
        <w:t xml:space="preserve"> </w:t>
      </w:r>
      <w:r>
        <w:t xml:space="preserve">prefix with the smallest violation), a</w:t>
      </w:r>
      <w:r>
        <w:t xml:space="preserve"> </w:t>
      </w:r>
      <w:r>
        <w:t xml:space="preserve">“</w:t>
      </w:r>
      <w:r>
        <w:t xml:space="preserve">network circle</w:t>
      </w:r>
      <w:r>
        <w:t xml:space="preserve">”</w:t>
      </w:r>
      <w:r>
        <w:t xml:space="preserve"> </w:t>
      </w:r>
      <w:r>
        <w:t xml:space="preserve">around</w:t>
      </w:r>
      <w:r>
        <w:t xml:space="preserve"> </w:t>
      </w:r>
      <m:oMath>
        <m:r>
          <m:t>c</m:t>
        </m:r>
      </m:oMath>
      <w:r>
        <w:t xml:space="preserve">. A</w:t>
      </w:r>
      <w:r>
        <w:t xml:space="preserve"> </w:t>
      </w:r>
      <w:r>
        <w:t xml:space="preserve">greedy fit starts from</w:t>
      </w:r>
      <w:r>
        <w:t xml:space="preserve"> </w:t>
      </w:r>
      <m:oMath>
        <m:r>
          <m:t>c</m:t>
        </m:r>
      </m:oMath>
      <w:r>
        <w:t xml:space="preserve"> </w:t>
      </w:r>
      <w:r>
        <w:t xml:space="preserve">and repeatedly adds the unit that most reduces</w:t>
      </w:r>
      <w:r>
        <w:t xml:space="preserve"> </w:t>
      </w:r>
      <w:r>
        <w:t xml:space="preserve">the violation, among units adjacent to one already selected and closer to</w:t>
      </w:r>
      <w:r>
        <w:t xml:space="preserve"> </w:t>
      </w:r>
      <m:oMath>
        <m:r>
          <m:t>c</m:t>
        </m:r>
      </m:oMath>
      <w:r>
        <w:t xml:space="preserve">, stopping when the area passes or nothing helps. Windows are ranked by</w:t>
      </w:r>
      <w:r>
        <w:t xml:space="preserve"> </w:t>
      </w:r>
      <w:r>
        <w:t xml:space="preserve">their best screening result (passing windows by distance from the treated</w:t>
      </w:r>
      <w:r>
        <w:t xml:space="preserve"> </w:t>
      </w:r>
      <w:r>
        <w:t xml:space="preserve">area, then the rest by violation), and the top 50 go to the integer</w:t>
      </w:r>
      <w:r>
        <w:t xml:space="preserve"> </w:t>
      </w:r>
      <w:r>
        <w:t xml:space="preserve">program.</w:t>
      </w:r>
    </w:p>
    <w:p>
      <w:pPr>
        <w:pStyle w:val="BodyText"/>
      </w:pPr>
      <w:r>
        <w:rPr>
          <w:iCs/>
          <w:i/>
        </w:rPr>
        <w:t xml:space="preserve">Integer program.</w:t>
      </w:r>
      <w:r>
        <w:t xml:space="preserve"> </w:t>
      </w:r>
      <w:r>
        <w:t xml:space="preserve">Within window</w:t>
      </w:r>
      <w:r>
        <w:t xml:space="preserve"> </w:t>
      </w:r>
      <m:oMath>
        <m:sSub>
          <m:e>
            <m:r>
              <m:t>W</m:t>
            </m:r>
          </m:e>
          <m:sub>
            <m:r>
              <m:t>c</m:t>
            </m:r>
          </m:sub>
        </m:sSub>
      </m:oMath>
      <w:r>
        <w:t xml:space="preserve">, let</w:t>
      </w:r>
      <w:r>
        <w:t xml:space="preserve"> </w:t>
      </w:r>
      <m:oMath>
        <m:sSub>
          <m:e>
            <m:r>
              <m:t>z</m:t>
            </m:r>
          </m:e>
          <m:sub>
            <m:r>
              <m:t>i</m:t>
            </m:r>
          </m:sub>
        </m:sSub>
        <m:r>
          <m:rPr>
            <m:sty m:val="p"/>
          </m:rPr>
          <m:t>∈</m:t>
        </m:r>
        <m:r>
          <m:rPr>
            <m:sty m:val="p"/>
          </m:rPr>
          <m:t>{</m:t>
        </m:r>
        <m:r>
          <m:t>0</m:t>
        </m:r>
        <m:r>
          <m:rPr>
            <m:sty m:val="p"/>
          </m:rPr>
          <m:t>,</m:t>
        </m:r>
        <m:r>
          <m:t>1</m:t>
        </m:r>
        <m:r>
          <m:rPr>
            <m:sty m:val="p"/>
          </m:rPr>
          <m:t>}</m:t>
        </m:r>
      </m:oMath>
      <w:r>
        <w:t xml:space="preserve"> </w:t>
      </w:r>
      <w:r>
        <w:t xml:space="preserve">indicate a</w:t>
      </w:r>
      <w:r>
        <w:t xml:space="preserve"> </w:t>
      </w:r>
      <w:r>
        <w:t xml:space="preserve">selected unit and</w:t>
      </w:r>
      <w:r>
        <w:t xml:space="preserve"> </w:t>
      </w:r>
      <m:oMath>
        <m:sSub>
          <m:e>
            <m:r>
              <m:t>o</m:t>
            </m:r>
          </m:e>
          <m:sub>
            <m:r>
              <m:t>t</m:t>
            </m:r>
          </m:sub>
        </m:sSub>
        <m:r>
          <m:rPr>
            <m:sty m:val="p"/>
          </m:rPr>
          <m:t>,</m:t>
        </m:r>
        <m:sSub>
          <m:e>
            <m:r>
              <m:t>u</m:t>
            </m:r>
          </m:e>
          <m:sub>
            <m:r>
              <m:t>t</m:t>
            </m:r>
          </m:sub>
        </m:sSub>
        <m:r>
          <m:rPr>
            <m:sty m:val="p"/>
          </m:rPr>
          <m:t>≥</m:t>
        </m:r>
        <m:r>
          <m:t>0</m:t>
        </m:r>
      </m:oMath>
      <w:r>
        <w:t xml:space="preserve"> </w:t>
      </w:r>
      <w:r>
        <w:t xml:space="preserve">the over- and under-count in month</w:t>
      </w:r>
      <w:r>
        <w:t xml:space="preserve"> </w:t>
      </w:r>
      <m:oMath>
        <m:r>
          <m:t>t</m:t>
        </m:r>
      </m:oMath>
      <w:r>
        <w:t xml:space="preserve">,</w:t>
      </w:r>
      <w:r>
        <w:t xml:space="preserve"> </w:t>
      </w:r>
      <w:r>
        <w:t xml:space="preserve">so</w:t>
      </w:r>
      <w:r>
        <w:t xml:space="preserve"> </w:t>
      </w:r>
      <m:oMath>
        <m:sSub>
          <m:e>
            <m:r>
              <m:t>o</m:t>
            </m:r>
          </m:e>
          <m:sub>
            <m:r>
              <m:t>t</m:t>
            </m:r>
          </m:sub>
        </m:sSub>
        <m:r>
          <m:rPr>
            <m:sty m:val="p"/>
          </m:rPr>
          <m:t>−</m:t>
        </m:r>
        <m:sSub>
          <m:e>
            <m:r>
              <m:t>u</m:t>
            </m:r>
          </m:e>
          <m:sub>
            <m:r>
              <m:t>t</m:t>
            </m:r>
          </m:sub>
        </m:sSub>
        <m:r>
          <m:rPr>
            <m:sty m:val="p"/>
          </m:rPr>
          <m:t>=</m:t>
        </m:r>
        <m:sSub>
          <m:e>
            <m:r>
              <m:t>D</m:t>
            </m:r>
          </m:e>
          <m:sub>
            <m:r>
              <m:t>t</m:t>
            </m:r>
          </m:sub>
        </m:sSub>
      </m:oMath>
      <w:r>
        <w:t xml:space="preserve">. Write</w:t>
      </w:r>
      <w:r>
        <w:t xml:space="preserve"> </w:t>
      </w:r>
      <m:oMath>
        <m:sSub>
          <m:e>
            <m:acc>
              <m:accPr>
                <m:chr m:val="̃"/>
              </m:accPr>
              <m:e>
                <m:r>
                  <m:t>d</m:t>
                </m:r>
              </m:e>
            </m:acc>
          </m:e>
          <m:sub>
            <m:r>
              <m:t>i</m:t>
            </m:r>
          </m:sub>
        </m:sSub>
      </m:oMath>
      <w:r>
        <w:t xml:space="preserve"> </w:t>
      </w:r>
      <w:r>
        <w:t xml:space="preserve">for unit</w:t>
      </w:r>
      <w:r>
        <w:t xml:space="preserve"> </w:t>
      </w:r>
      <m:oMath>
        <m:r>
          <m:t>i</m:t>
        </m:r>
      </m:oMath>
      <w:r>
        <w:t xml:space="preserve">’s network distance</w:t>
      </w:r>
      <w:r>
        <w:t xml:space="preserve"> </w:t>
      </w:r>
      <w:r>
        <w:t xml:space="preserve">from the center rescaled to mean one,</w:t>
      </w:r>
      <w:r>
        <w:t xml:space="preserve"> </w:t>
      </w:r>
      <m:oMath>
        <m:sSub>
          <m:e>
            <m:r>
              <m:t>N</m:t>
            </m:r>
          </m:e>
          <m:sub>
            <m:r>
              <m:t>c</m:t>
            </m:r>
          </m:sub>
        </m:sSub>
        <m:d>
          <m:dPr>
            <m:begChr m:val="("/>
            <m:endChr m:val=")"/>
            <m:sepChr m:val=""/>
            <m:grow/>
          </m:dPr>
          <m:e>
            <m:r>
              <m:t>i</m:t>
            </m:r>
          </m:e>
        </m:d>
      </m:oMath>
      <w:r>
        <w:t xml:space="preserve"> </w:t>
      </w:r>
      <w:r>
        <w:t xml:space="preserve">for the neighbors of</w:t>
      </w:r>
      <w:r>
        <w:t xml:space="preserve"> </w:t>
      </w:r>
      <m:oMath>
        <m:r>
          <m:t>i</m:t>
        </m:r>
      </m:oMath>
      <w:r>
        <w:t xml:space="preserve"> </w:t>
      </w:r>
      <w:r>
        <w:t xml:space="preserve">in</w:t>
      </w:r>
      <w:r>
        <w:t xml:space="preserve"> </w:t>
      </w:r>
      <w:r>
        <w:t xml:space="preserve">the window that are closer to</w:t>
      </w:r>
      <w:r>
        <w:t xml:space="preserve"> </w:t>
      </w:r>
      <m:oMath>
        <m:r>
          <m:t>c</m:t>
        </m:r>
      </m:oMath>
      <w:r>
        <w:t xml:space="preserve">, and</w:t>
      </w:r>
      <w:r>
        <w:t xml:space="preserve"> </w:t>
      </w:r>
      <m:oMath>
        <m:r>
          <m:t>s</m:t>
        </m:r>
        <m:r>
          <m:rPr>
            <m:sty m:val="p"/>
          </m:rPr>
          <m:t>≥</m:t>
        </m:r>
        <m:r>
          <m:t>0</m:t>
        </m:r>
      </m:oMath>
      <w:r>
        <w:t xml:space="preserve"> </w:t>
      </w:r>
      <w:r>
        <w:t xml:space="preserve">for a slack. The program is</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r>
                  <m:rPr>
                    <m:sty m:val="p"/>
                  </m:rPr>
                  <m:t>min</m:t>
                </m:r>
                <m:r>
                  <m:t> </m:t>
                </m:r>
              </m:e>
              <m:e>
                <m:nary>
                  <m:naryPr>
                    <m:chr m:val="∑"/>
                    <m:limLoc m:val="undOvr"/>
                    <m:subHide m:val="off"/>
                    <m:supHide m:val="on"/>
                  </m:naryPr>
                  <m:sub>
                    <m:r>
                      <m:t>i</m:t>
                    </m:r>
                    <m:r>
                      <m:rPr>
                        <m:sty m:val="p"/>
                      </m:rPr>
                      <m:t>∈</m:t>
                    </m:r>
                    <m:sSub>
                      <m:e>
                        <m:r>
                          <m:t>W</m:t>
                        </m:r>
                      </m:e>
                      <m:sub>
                        <m:r>
                          <m:t>c</m:t>
                        </m:r>
                      </m:sub>
                    </m:sSub>
                  </m:sub>
                  <m:sup>
                    <m:r>
                      <m:t>​</m:t>
                    </m:r>
                  </m:sup>
                  <m:e>
                    <m:sSub>
                      <m:e>
                        <m:acc>
                          <m:accPr>
                            <m:chr m:val="̃"/>
                          </m:accPr>
                          <m:e>
                            <m:r>
                              <m:t>d</m:t>
                            </m:r>
                          </m:e>
                        </m:acc>
                      </m:e>
                      <m:sub>
                        <m:r>
                          <m:t>i</m:t>
                        </m:r>
                      </m:sub>
                    </m:sSub>
                  </m:e>
                </m:nary>
                <m:sSub>
                  <m:e>
                    <m:r>
                      <m:t>z</m:t>
                    </m:r>
                  </m:e>
                  <m:sub>
                    <m:r>
                      <m:t>i</m:t>
                    </m:r>
                  </m:sub>
                </m:sSub>
                <m:r>
                  <m:rPr>
                    <m:sty m:val="p"/>
                  </m:rPr>
                  <m:t>+</m:t>
                </m:r>
                <m:r>
                  <m:t>M</m:t>
                </m:r>
                <m:r>
                  <m:t>s</m:t>
                </m:r>
                <m:r>
                  <m:rPr>
                    <m:sty m:val="p"/>
                  </m:rPr>
                  <m:t>+</m:t>
                </m:r>
                <m:r>
                  <m:t>ϵ</m:t>
                </m:r>
                <m:r>
                  <m:t>F</m:t>
                </m:r>
                <m:r>
                  <m:rPr>
                    <m:sty m:val="p"/>
                  </m:rPr>
                  <m:t>/</m:t>
                </m:r>
                <m:r>
                  <m:t>τ</m:t>
                </m:r>
              </m:e>
            </m:mr>
            <m:mr>
              <m:e>
                <m:r>
                  <m:rPr>
                    <m:nor/>
                    <m:sty m:val="p"/>
                  </m:rPr>
                  <m:t>s.t.</m:t>
                </m:r>
                <m:r>
                  <m:t> </m:t>
                </m:r>
              </m:e>
              <m:e>
                <m:nary>
                  <m:naryPr>
                    <m:chr m:val="∑"/>
                    <m:limLoc m:val="undOvr"/>
                    <m:subHide m:val="off"/>
                    <m:supHide m:val="on"/>
                  </m:naryPr>
                  <m:sub>
                    <m:r>
                      <m:t>i</m:t>
                    </m:r>
                    <m:r>
                      <m:rPr>
                        <m:sty m:val="p"/>
                      </m:rPr>
                      <m:t>∈</m:t>
                    </m:r>
                    <m:sSub>
                      <m:e>
                        <m:r>
                          <m:t>W</m:t>
                        </m:r>
                      </m:e>
                      <m:sub>
                        <m:r>
                          <m:t>c</m:t>
                        </m:r>
                      </m:sub>
                    </m:sSub>
                  </m:sub>
                  <m:sup>
                    <m:r>
                      <m:t>​</m:t>
                    </m:r>
                  </m:sup>
                  <m:e>
                    <m:sSub>
                      <m:e>
                        <m:r>
                          <m:t>x</m:t>
                        </m:r>
                      </m:e>
                      <m:sub>
                        <m:r>
                          <m:t>i</m:t>
                        </m:r>
                        <m:r>
                          <m:t>t</m:t>
                        </m:r>
                      </m:sub>
                    </m:sSub>
                  </m:e>
                </m:nary>
                <m:sSub>
                  <m:e>
                    <m:r>
                      <m:t>z</m:t>
                    </m:r>
                  </m:e>
                  <m:sub>
                    <m:r>
                      <m:t>i</m:t>
                    </m:r>
                  </m:sub>
                </m:sSub>
                <m:r>
                  <m:rPr>
                    <m:sty m:val="p"/>
                  </m:rPr>
                  <m:t>−</m:t>
                </m:r>
                <m:sSub>
                  <m:e>
                    <m:r>
                      <m:t>o</m:t>
                    </m:r>
                  </m:e>
                  <m:sub>
                    <m:r>
                      <m:t>t</m:t>
                    </m:r>
                  </m:sub>
                </m:sSub>
                <m:r>
                  <m:rPr>
                    <m:sty m:val="p"/>
                  </m:rPr>
                  <m:t>+</m:t>
                </m:r>
                <m:sSub>
                  <m:e>
                    <m:r>
                      <m:t>u</m:t>
                    </m:r>
                  </m:e>
                  <m:sub>
                    <m:r>
                      <m:t>t</m:t>
                    </m:r>
                  </m:sub>
                </m:sSub>
                <m:r>
                  <m:rPr>
                    <m:sty m:val="p"/>
                  </m:rPr>
                  <m:t>=</m:t>
                </m:r>
                <m:r>
                  <m:t>k</m:t>
                </m:r>
                <m:r>
                  <m:t> </m:t>
                </m:r>
                <m:sSub>
                  <m:e>
                    <m:r>
                      <m:t>y</m:t>
                    </m:r>
                  </m:e>
                  <m:sub>
                    <m:r>
                      <m:t>t</m:t>
                    </m:r>
                  </m:sub>
                </m:sSub>
              </m:e>
              <m:e/>
              <m:e>
                <m:r>
                  <m:rPr>
                    <m:nor/>
                    <m:sty m:val="p"/>
                  </m:rPr>
                  <m:t>for all </m:t>
                </m:r>
                <m:r>
                  <m:t>t</m:t>
                </m:r>
              </m:e>
            </m:mr>
            <m:mr>
              <m:e/>
              <m:e>
                <m:nary>
                  <m:naryPr>
                    <m:chr m:val="∑"/>
                    <m:limLoc m:val="undOvr"/>
                    <m:subHide m:val="off"/>
                    <m:supHide m:val="on"/>
                  </m:naryPr>
                  <m:sub>
                    <m:r>
                      <m:t>t</m:t>
                    </m:r>
                  </m:sub>
                  <m:sup>
                    <m:r>
                      <m:t>​</m:t>
                    </m:r>
                  </m:sup>
                  <m:e>
                    <m:d>
                      <m:dPr>
                        <m:begChr m:val="("/>
                        <m:endChr m:val=")"/>
                        <m:sepChr m:val=""/>
                        <m:grow/>
                      </m:dPr>
                      <m:e>
                        <m:sSub>
                          <m:e>
                            <m:r>
                              <m:t>o</m:t>
                            </m:r>
                          </m:e>
                          <m:sub>
                            <m:r>
                              <m:t>t</m:t>
                            </m:r>
                          </m:sub>
                        </m:sSub>
                        <m:r>
                          <m:rPr>
                            <m:sty m:val="p"/>
                          </m:rPr>
                          <m:t>+</m:t>
                        </m:r>
                        <m:sSub>
                          <m:e>
                            <m:r>
                              <m:t>u</m:t>
                            </m:r>
                          </m:e>
                          <m:sub>
                            <m:r>
                              <m:t>t</m:t>
                            </m:r>
                          </m:sub>
                        </m:sSub>
                      </m:e>
                    </m:d>
                  </m:e>
                </m:nary>
                <m:r>
                  <m:rPr>
                    <m:sty m:val="p"/>
                  </m:rPr>
                  <m:t>≤</m:t>
                </m:r>
                <m:r>
                  <m:t>τ</m:t>
                </m:r>
                <m:d>
                  <m:dPr>
                    <m:begChr m:val="("/>
                    <m:endChr m:val=")"/>
                    <m:sepChr m:val=""/>
                    <m:grow/>
                  </m:dPr>
                  <m:e>
                    <m:r>
                      <m:t>1</m:t>
                    </m:r>
                    <m:r>
                      <m:rPr>
                        <m:sty m:val="p"/>
                      </m:rPr>
                      <m:t>+</m:t>
                    </m:r>
                    <m:r>
                      <m:t>s</m:t>
                    </m:r>
                  </m:e>
                </m:d>
                <m:r>
                  <m:rPr>
                    <m:sty m:val="p"/>
                  </m:rPr>
                  <m:t>,</m:t>
                </m:r>
                <m:r>
                  <m:t> </m:t>
                </m:r>
                <m:nary>
                  <m:naryPr>
                    <m:chr m:val="∑"/>
                    <m:limLoc m:val="undOvr"/>
                    <m:subHide m:val="off"/>
                    <m:supHide m:val="on"/>
                  </m:naryPr>
                  <m:sub>
                    <m:r>
                      <m:t>b</m:t>
                    </m:r>
                  </m:sub>
                  <m:sup>
                    <m:r>
                      <m:t>​</m:t>
                    </m:r>
                  </m:sup>
                  <m:e>
                    <m:sSub>
                      <m:e>
                        <m:r>
                          <m:t>e</m:t>
                        </m:r>
                      </m:e>
                      <m:sub>
                        <m:r>
                          <m:t>b</m:t>
                        </m:r>
                      </m:sub>
                    </m:sSub>
                  </m:e>
                </m:nary>
                <m:r>
                  <m:rPr>
                    <m:sty m:val="p"/>
                  </m:rPr>
                  <m:t>≤</m:t>
                </m:r>
                <m:sSub>
                  <m:e>
                    <m:r>
                      <m:t>τ</m:t>
                    </m:r>
                  </m:e>
                  <m:sub>
                    <m:r>
                      <m:t>6</m:t>
                    </m:r>
                  </m:sub>
                </m:sSub>
                <m:d>
                  <m:dPr>
                    <m:begChr m:val="("/>
                    <m:endChr m:val=")"/>
                    <m:sepChr m:val=""/>
                    <m:grow/>
                  </m:dPr>
                  <m:e>
                    <m:r>
                      <m:t>1</m:t>
                    </m:r>
                    <m:r>
                      <m:rPr>
                        <m:sty m:val="p"/>
                      </m:rPr>
                      <m:t>+</m:t>
                    </m:r>
                    <m:r>
                      <m:t>s</m:t>
                    </m:r>
                  </m:e>
                </m:d>
                <m:r>
                  <m:rPr>
                    <m:sty m:val="p"/>
                  </m:rPr>
                  <m:t>,</m:t>
                </m:r>
                <m:r>
                  <m:t> </m:t>
                </m:r>
                <m:sSub>
                  <m:e>
                    <m:r>
                      <m:t>e</m:t>
                    </m:r>
                  </m:e>
                  <m:sub>
                    <m:r>
                      <m:t>b</m:t>
                    </m:r>
                  </m:sub>
                </m:sSub>
                <m:r>
                  <m:rPr>
                    <m:sty m:val="p"/>
                  </m:rPr>
                  <m:t>≥</m:t>
                </m:r>
                <m:r>
                  <m:rPr>
                    <m:sty m:val="p"/>
                  </m:rPr>
                  <m:t>±</m:t>
                </m:r>
                <m:nary>
                  <m:naryPr>
                    <m:chr m:val="∑"/>
                    <m:limLoc m:val="undOvr"/>
                    <m:subHide m:val="off"/>
                    <m:supHide m:val="on"/>
                  </m:naryPr>
                  <m:sub>
                    <m:r>
                      <m:t>t</m:t>
                    </m:r>
                    <m:r>
                      <m:rPr>
                        <m:sty m:val="p"/>
                      </m:rPr>
                      <m:t>∈</m:t>
                    </m:r>
                    <m:r>
                      <m:t>b</m:t>
                    </m:r>
                  </m:sub>
                  <m:sup>
                    <m:r>
                      <m:t>​</m:t>
                    </m:r>
                  </m:sup>
                  <m:e>
                    <m:d>
                      <m:dPr>
                        <m:begChr m:val="("/>
                        <m:endChr m:val=")"/>
                        <m:sepChr m:val=""/>
                        <m:grow/>
                      </m:dPr>
                      <m:e>
                        <m:sSub>
                          <m:e>
                            <m:r>
                              <m:t>o</m:t>
                            </m:r>
                          </m:e>
                          <m:sub>
                            <m:r>
                              <m:t>t</m:t>
                            </m:r>
                          </m:sub>
                        </m:sSub>
                        <m:r>
                          <m:rPr>
                            <m:sty m:val="p"/>
                          </m:rPr>
                          <m:t>−</m:t>
                        </m:r>
                        <m:sSub>
                          <m:e>
                            <m:r>
                              <m:t>u</m:t>
                            </m:r>
                          </m:e>
                          <m:sub>
                            <m:r>
                              <m:t>t</m:t>
                            </m:r>
                          </m:sub>
                        </m:sSub>
                      </m:e>
                    </m:d>
                  </m:e>
                </m:nary>
              </m:e>
            </m:mr>
            <m:mr>
              <m:e/>
              <m:e>
                <m:d>
                  <m:dPr>
                    <m:begChr m:val="|"/>
                    <m:endChr m:val="|"/>
                    <m:sepChr m:val=""/>
                    <m:grow/>
                  </m:dPr>
                  <m:e>
                    <m:nary>
                      <m:naryPr>
                        <m:chr m:val="∑"/>
                        <m:limLoc m:val="undOvr"/>
                        <m:subHide m:val="off"/>
                        <m:supHide m:val="on"/>
                      </m:naryPr>
                      <m:sub>
                        <m:r>
                          <m:t>t</m:t>
                        </m:r>
                      </m:sub>
                      <m:sup>
                        <m:r>
                          <m:t>​</m:t>
                        </m:r>
                      </m:sup>
                      <m:e>
                        <m:d>
                          <m:dPr>
                            <m:begChr m:val="("/>
                            <m:endChr m:val=")"/>
                            <m:sepChr m:val=""/>
                            <m:grow/>
                          </m:dPr>
                          <m:e>
                            <m:sSub>
                              <m:e>
                                <m:r>
                                  <m:t>o</m:t>
                                </m:r>
                              </m:e>
                              <m:sub>
                                <m:r>
                                  <m:t>t</m:t>
                                </m:r>
                              </m:sub>
                            </m:sSub>
                            <m:r>
                              <m:rPr>
                                <m:sty m:val="p"/>
                              </m:rPr>
                              <m:t>−</m:t>
                            </m:r>
                            <m:sSub>
                              <m:e>
                                <m:r>
                                  <m:t>u</m:t>
                                </m:r>
                              </m:e>
                              <m:sub>
                                <m:r>
                                  <m:t>t</m:t>
                                </m:r>
                              </m:sub>
                            </m:sSub>
                          </m:e>
                        </m:d>
                      </m:e>
                    </m:nary>
                  </m:e>
                </m:d>
                <m:r>
                  <m:rPr>
                    <m:sty m:val="p"/>
                  </m:rPr>
                  <m:t>≤</m:t>
                </m:r>
                <m:r>
                  <m:rPr>
                    <m:sty m:val="p"/>
                  </m:rPr>
                  <m:t>ℓ</m:t>
                </m:r>
                <m:d>
                  <m:dPr>
                    <m:begChr m:val="("/>
                    <m:endChr m:val=")"/>
                    <m:sepChr m:val=""/>
                    <m:grow/>
                  </m:dPr>
                  <m:e>
                    <m:r>
                      <m:t>1</m:t>
                    </m:r>
                    <m:r>
                      <m:rPr>
                        <m:sty m:val="p"/>
                      </m:rPr>
                      <m:t>+</m:t>
                    </m:r>
                    <m:r>
                      <m:t>s</m:t>
                    </m:r>
                  </m:e>
                </m:d>
                <m:r>
                  <m:rPr>
                    <m:sty m:val="p"/>
                  </m:rPr>
                  <m:t>,</m:t>
                </m:r>
                <m:r>
                  <m:t> </m:t>
                </m:r>
                <m:d>
                  <m:dPr>
                    <m:begChr m:val="|"/>
                    <m:endChr m:val="|"/>
                    <m:sepChr m:val=""/>
                    <m:grow/>
                  </m:dPr>
                  <m:e>
                    <m:nary>
                      <m:naryPr>
                        <m:chr m:val="∑"/>
                        <m:limLoc m:val="undOvr"/>
                        <m:subHide m:val="off"/>
                        <m:supHide m:val="on"/>
                      </m:naryPr>
                      <m:sub>
                        <m:r>
                          <m:t>t</m:t>
                        </m:r>
                      </m:sub>
                      <m:sup>
                        <m:r>
                          <m:t>​</m:t>
                        </m:r>
                      </m:sup>
                      <m:e>
                        <m:d>
                          <m:dPr>
                            <m:begChr m:val="("/>
                            <m:endChr m:val=")"/>
                            <m:sepChr m:val=""/>
                            <m:grow/>
                          </m:dPr>
                          <m:e>
                            <m:r>
                              <m:t>t</m:t>
                            </m:r>
                            <m:r>
                              <m:rPr>
                                <m:sty m:val="p"/>
                              </m:rPr>
                              <m:t>−</m:t>
                            </m:r>
                            <m:acc>
                              <m:accPr>
                                <m:chr m:val="‾"/>
                              </m:accPr>
                              <m:e>
                                <m:r>
                                  <m:t>t</m:t>
                                </m:r>
                              </m:e>
                            </m:acc>
                          </m:e>
                        </m:d>
                      </m:e>
                    </m:nary>
                    <m:d>
                      <m:dPr>
                        <m:begChr m:val="("/>
                        <m:endChr m:val=")"/>
                        <m:sepChr m:val=""/>
                        <m:grow/>
                      </m:dPr>
                      <m:e>
                        <m:sSub>
                          <m:e>
                            <m:r>
                              <m:t>o</m:t>
                            </m:r>
                          </m:e>
                          <m:sub>
                            <m:r>
                              <m:t>t</m:t>
                            </m:r>
                          </m:sub>
                        </m:sSub>
                        <m:r>
                          <m:rPr>
                            <m:sty m:val="p"/>
                          </m:rPr>
                          <m:t>−</m:t>
                        </m:r>
                        <m:sSub>
                          <m:e>
                            <m:r>
                              <m:t>u</m:t>
                            </m:r>
                          </m:e>
                          <m:sub>
                            <m:r>
                              <m:t>t</m:t>
                            </m:r>
                          </m:sub>
                        </m:sSub>
                      </m:e>
                    </m:d>
                  </m:e>
                </m:d>
                <m:r>
                  <m:rPr>
                    <m:sty m:val="p"/>
                  </m:rPr>
                  <m:t>≤</m:t>
                </m:r>
                <m:r>
                  <m:t>σ</m:t>
                </m:r>
                <m:d>
                  <m:dPr>
                    <m:begChr m:val="("/>
                    <m:endChr m:val=")"/>
                    <m:sepChr m:val=""/>
                    <m:grow/>
                  </m:dPr>
                  <m:e>
                    <m:r>
                      <m:t>1</m:t>
                    </m:r>
                    <m:r>
                      <m:rPr>
                        <m:sty m:val="p"/>
                      </m:rPr>
                      <m:t>+</m:t>
                    </m:r>
                    <m:r>
                      <m:t>s</m:t>
                    </m:r>
                  </m:e>
                </m:d>
              </m:e>
            </m:mr>
            <m:mr>
              <m:e/>
              <m:e>
                <m:sSub>
                  <m:e>
                    <m:r>
                      <m:t>z</m:t>
                    </m:r>
                  </m:e>
                  <m:sub>
                    <m:r>
                      <m:t>i</m:t>
                    </m:r>
                  </m:sub>
                </m:sSub>
                <m:r>
                  <m:rPr>
                    <m:sty m:val="p"/>
                  </m:rPr>
                  <m:t>≤</m:t>
                </m:r>
                <m:nary>
                  <m:naryPr>
                    <m:chr m:val="∑"/>
                    <m:limLoc m:val="undOvr"/>
                    <m:subHide m:val="off"/>
                    <m:supHide m:val="on"/>
                  </m:naryPr>
                  <m:sub>
                    <m:r>
                      <m:t>j</m:t>
                    </m:r>
                    <m:r>
                      <m:rPr>
                        <m:sty m:val="p"/>
                      </m:rPr>
                      <m:t>∈</m:t>
                    </m:r>
                    <m:sSub>
                      <m:e>
                        <m:r>
                          <m:t>N</m:t>
                        </m:r>
                      </m:e>
                      <m:sub>
                        <m:r>
                          <m:t>c</m:t>
                        </m:r>
                      </m:sub>
                    </m:sSub>
                    <m:d>
                      <m:dPr>
                        <m:begChr m:val="("/>
                        <m:endChr m:val=")"/>
                        <m:sepChr m:val=""/>
                        <m:grow/>
                      </m:dPr>
                      <m:e>
                        <m:r>
                          <m:t>i</m:t>
                        </m:r>
                      </m:e>
                    </m:d>
                  </m:sub>
                  <m:sup>
                    <m:r>
                      <m:t>​</m:t>
                    </m:r>
                  </m:sup>
                  <m:e>
                    <m:sSub>
                      <m:e>
                        <m:r>
                          <m:t>z</m:t>
                        </m:r>
                      </m:e>
                      <m:sub>
                        <m:r>
                          <m:t>j</m:t>
                        </m:r>
                      </m:sub>
                    </m:sSub>
                  </m:e>
                </m:nary>
              </m:e>
              <m:e/>
              <m:e>
                <m:r>
                  <m:rPr>
                    <m:nor/>
                    <m:sty m:val="p"/>
                  </m:rPr>
                  <m:t>for all </m:t>
                </m:r>
                <m:r>
                  <m:t>i</m:t>
                </m:r>
                <m:r>
                  <m:rPr>
                    <m:sty m:val="p"/>
                  </m:rPr>
                  <m:t>∈</m:t>
                </m:r>
                <m:sSub>
                  <m:e>
                    <m:r>
                      <m:t>W</m:t>
                    </m:r>
                  </m:e>
                  <m:sub>
                    <m:r>
                      <m:t>c</m:t>
                    </m:r>
                  </m:sub>
                </m:sSub>
                <m:r>
                  <m:rPr>
                    <m:sty m:val="p"/>
                  </m:rPr>
                  <m:t>,</m:t>
                </m:r>
                <m:r>
                  <m:t> </m:t>
                </m:r>
                <m:r>
                  <m:t>i</m:t>
                </m:r>
                <m:r>
                  <m:rPr>
                    <m:sty m:val="p"/>
                  </m:rPr>
                  <m:t>≠</m:t>
                </m:r>
                <m:r>
                  <m:t>c</m:t>
                </m:r>
              </m:e>
            </m:mr>
            <m:mr>
              <m:e/>
              <m:e>
                <m:sSub>
                  <m:e>
                    <m:r>
                      <m:t>z</m:t>
                    </m:r>
                  </m:e>
                  <m:sub>
                    <m:r>
                      <m:t>c</m:t>
                    </m:r>
                  </m:sub>
                </m:sSub>
                <m:r>
                  <m:rPr>
                    <m:sty m:val="p"/>
                  </m:rPr>
                  <m:t>=</m:t>
                </m:r>
                <m:r>
                  <m:t>1</m:t>
                </m:r>
                <m:r>
                  <m:rPr>
                    <m:sty m:val="p"/>
                  </m:rPr>
                  <m:t>,</m:t>
                </m:r>
                <m:r>
                  <m:t> </m:t>
                </m:r>
                <m:sSub>
                  <m:e>
                    <m:r>
                      <m:t>z</m:t>
                    </m:r>
                  </m:e>
                  <m:sub>
                    <m:r>
                      <m:t>i</m:t>
                    </m:r>
                  </m:sub>
                </m:sSub>
                <m:r>
                  <m:rPr>
                    <m:sty m:val="p"/>
                  </m:rPr>
                  <m:t>∈</m:t>
                </m:r>
                <m:r>
                  <m:rPr>
                    <m:sty m:val="p"/>
                  </m:rPr>
                  <m:t>{</m:t>
                </m:r>
                <m:r>
                  <m:t>0</m:t>
                </m:r>
                <m:r>
                  <m:rPr>
                    <m:sty m:val="p"/>
                  </m:rPr>
                  <m:t>,</m:t>
                </m:r>
                <m:r>
                  <m:t>1</m:t>
                </m:r>
                <m:r>
                  <m:rPr>
                    <m:sty m:val="p"/>
                  </m:rPr>
                  <m:t>}</m:t>
                </m:r>
                <m:r>
                  <m:rPr>
                    <m:sty m:val="p"/>
                  </m:rPr>
                  <m:t>,</m:t>
                </m:r>
                <m:r>
                  <m:t> </m:t>
                </m:r>
                <m:sSub>
                  <m:e>
                    <m:r>
                      <m:t>o</m:t>
                    </m:r>
                  </m:e>
                  <m:sub>
                    <m:r>
                      <m:t>t</m:t>
                    </m:r>
                  </m:sub>
                </m:sSub>
                <m:r>
                  <m:rPr>
                    <m:sty m:val="p"/>
                  </m:rPr>
                  <m:t>,</m:t>
                </m:r>
                <m:sSub>
                  <m:e>
                    <m:r>
                      <m:t>u</m:t>
                    </m:r>
                  </m:e>
                  <m:sub>
                    <m:r>
                      <m:t>t</m:t>
                    </m:r>
                  </m:sub>
                </m:sSub>
                <m:r>
                  <m:rPr>
                    <m:sty m:val="p"/>
                  </m:rPr>
                  <m:t>,</m:t>
                </m:r>
                <m:sSub>
                  <m:e>
                    <m:r>
                      <m:t>e</m:t>
                    </m:r>
                  </m:e>
                  <m:sub>
                    <m:r>
                      <m:t>b</m:t>
                    </m:r>
                  </m:sub>
                </m:sSub>
                <m:r>
                  <m:rPr>
                    <m:sty m:val="p"/>
                  </m:rPr>
                  <m:t>,</m:t>
                </m:r>
                <m:r>
                  <m:t>s</m:t>
                </m:r>
                <m:r>
                  <m:rPr>
                    <m:sty m:val="p"/>
                  </m:rPr>
                  <m:t>≥</m:t>
                </m:r>
                <m:r>
                  <m:t>0</m:t>
                </m:r>
                <m:r>
                  <m:rPr>
                    <m:sty m:val="p"/>
                  </m:rPr>
                  <m:t>,</m:t>
                </m:r>
              </m:e>
            </m:mr>
          </m:m>
        </m:oMath>
      </m:oMathPara>
    </w:p>
    <w:p>
      <w:pPr>
        <w:pStyle w:val="FirstParagraph"/>
      </w:pPr>
      <w:r>
        <w:t xml:space="preserve">where</w:t>
      </w:r>
      <w:r>
        <w:t xml:space="preserve"> </w:t>
      </w:r>
      <m:oMath>
        <m:r>
          <m:rPr>
            <m:sty m:val="p"/>
          </m:rPr>
          <m:t>ℓ</m:t>
        </m:r>
      </m:oMath>
      <w:r>
        <w:t xml:space="preserve"> </w:t>
      </w:r>
      <w:r>
        <w:t xml:space="preserve">and</w:t>
      </w:r>
      <w:r>
        <w:t xml:space="preserve"> </w:t>
      </w:r>
      <m:oMath>
        <m:r>
          <m:t>σ</m:t>
        </m:r>
      </m:oMath>
      <w:r>
        <w:t xml:space="preserve"> </w:t>
      </w:r>
      <w:r>
        <w:t xml:space="preserve">are the level and trend thresholds. The objective</w:t>
      </w:r>
      <w:r>
        <w:t xml:space="preserve"> </w:t>
      </w:r>
      <w:r>
        <w:t xml:space="preserve">is the p-median measure of compactness, the summed distance of selected</w:t>
      </w:r>
      <w:r>
        <w:t xml:space="preserve"> </w:t>
      </w:r>
      <w:r>
        <w:t xml:space="preserve">units from the center</w:t>
      </w:r>
      <w:r>
        <w:t xml:space="preserve"> </w:t>
      </w:r>
      <w:r>
        <w:t xml:space="preserve">(</w:t>
      </w:r>
      <w:hyperlink w:anchor="ref-wheeler2019pmed">
        <w:r>
          <w:rPr>
            <w:rStyle w:val="Hyperlink"/>
          </w:rPr>
          <w:t xml:space="preserve">Wheeler 2019</w:t>
        </w:r>
      </w:hyperlink>
      <w:r>
        <w:t xml:space="preserve">)</w:t>
      </w:r>
      <w:r>
        <w:t xml:space="preserve">. The slack keeps the program</w:t>
      </w:r>
      <w:r>
        <w:t xml:space="preserve"> </w:t>
      </w:r>
      <w:r>
        <w:t xml:space="preserve">feasible when no subset of the window passes; its penalty</w:t>
      </w:r>
      <w:r>
        <w:t xml:space="preserve"> </w:t>
      </w:r>
      <m:oMath>
        <m:r>
          <m:t>M</m:t>
        </m:r>
      </m:oMath>
      <w:r>
        <w:t xml:space="preserve"> </w:t>
      </w:r>
      <w:r>
        <w:t xml:space="preserve">is 100 times</w:t>
      </w:r>
      <w:r>
        <w:t xml:space="preserve"> </w:t>
      </w:r>
      <w:r>
        <w:t xml:space="preserve">the window’s total distance, so any subset that passes beats any that</w:t>
      </w:r>
      <w:r>
        <w:t xml:space="preserve"> </w:t>
      </w:r>
      <w:r>
        <w:t xml:space="preserve">misses. The small</w:t>
      </w:r>
      <w:r>
        <w:t xml:space="preserve"> </w:t>
      </w:r>
      <m:oMath>
        <m:r>
          <m:t>ϵ</m:t>
        </m:r>
      </m:oMath>
      <w:r>
        <w:t xml:space="preserve"> </w:t>
      </w:r>
      <w:r>
        <w:t xml:space="preserve">term breaks ties toward better fits.</w:t>
      </w:r>
    </w:p>
    <w:p>
      <w:pPr>
        <w:pStyle w:val="BodyText"/>
      </w:pPr>
      <w:r>
        <w:t xml:space="preserve">The last constraint does the work. Every selected unit other than the</w:t>
      </w:r>
      <w:r>
        <w:t xml:space="preserve"> </w:t>
      </w:r>
      <w:r>
        <w:t xml:space="preserve">center must border a selected unit strictly closer to the center. Following</w:t>
      </w:r>
      <w:r>
        <w:t xml:space="preserve"> </w:t>
      </w:r>
      <w:r>
        <w:t xml:space="preserve">those neighbors from any selected unit traces a path of strictly decreasing</w:t>
      </w:r>
      <w:r>
        <w:t xml:space="preserve"> </w:t>
      </w:r>
      <w:r>
        <w:t xml:space="preserve">distance that must end at</w:t>
      </w:r>
      <w:r>
        <w:t xml:space="preserve"> </w:t>
      </w:r>
      <m:oMath>
        <m:r>
          <m:t>c</m:t>
        </m:r>
      </m:oMath>
      <w:r>
        <w:t xml:space="preserve">, so every feasible solution is a connected</w:t>
      </w:r>
      <w:r>
        <w:t xml:space="preserve"> </w:t>
      </w:r>
      <w:r>
        <w:t xml:space="preserve">area containing</w:t>
      </w:r>
      <w:r>
        <w:t xml:space="preserve"> </w:t>
      </w:r>
      <m:oMath>
        <m:r>
          <m:t>c</m:t>
        </m:r>
      </m:oMath>
      <w:r>
        <w:t xml:space="preserve">. No unit is ruled out, since a unit’s predecessor on its</w:t>
      </w:r>
      <w:r>
        <w:t xml:space="preserve"> </w:t>
      </w:r>
      <w:r>
        <w:t xml:space="preserve">shortest path to</w:t>
      </w:r>
      <w:r>
        <w:t xml:space="preserve"> </w:t>
      </w:r>
      <m:oMath>
        <m:r>
          <m:t>c</m:t>
        </m:r>
      </m:oMath>
      <w:r>
        <w:t xml:space="preserve"> </w:t>
      </w:r>
      <w:r>
        <w:t xml:space="preserve">is a closer neighbor. The constraint restricts the</w:t>
      </w:r>
      <w:r>
        <w:t xml:space="preserve"> </w:t>
      </w:r>
      <w:r>
        <w:t xml:space="preserve">shape, which must be star-shaped around its center in network distance, but</w:t>
      </w:r>
      <w:r>
        <w:t xml:space="preserve"> </w:t>
      </w:r>
      <w:r>
        <w:t xml:space="preserve">that is a compactness requirement an analyst would want anyway, and the</w:t>
      </w:r>
      <w:r>
        <w:t xml:space="preserve"> </w:t>
      </w:r>
      <w:r>
        <w:t xml:space="preserve">scan over centers recovers areas centered anywhere. It needs one constraint</w:t>
      </w:r>
      <w:r>
        <w:t xml:space="preserve"> </w:t>
      </w:r>
      <w:r>
        <w:t xml:space="preserve">per unit, against the many cut constraints or flow variables of an exact</w:t>
      </w:r>
      <w:r>
        <w:t xml:space="preserve"> </w:t>
      </w:r>
      <w:r>
        <w:t xml:space="preserve">contiguity formulation</w:t>
      </w:r>
      <w:r>
        <w:t xml:space="preserve"> </w:t>
      </w:r>
      <w:r>
        <w:t xml:space="preserve">(</w:t>
      </w:r>
      <w:hyperlink w:anchor="ref-validi2022">
        <w:r>
          <w:rPr>
            <w:rStyle w:val="Hyperlink"/>
          </w:rPr>
          <w:t xml:space="preserve">Validi, Buchanan, and Lykhovyd 2022</w:t>
        </w:r>
      </w:hyperlink>
      <w:r>
        <w:t xml:space="preserve">)</w:t>
      </w:r>
      <w:r>
        <w:t xml:space="preserve">, so each window’s program solves with</w:t>
      </w:r>
      <w:r>
        <w:t xml:space="preserve"> </w:t>
      </w:r>
      <w:r>
        <w:t xml:space="preserve">HiGHS</w:t>
      </w:r>
      <w:r>
        <w:t xml:space="preserve"> </w:t>
      </w:r>
      <w:r>
        <w:t xml:space="preserve">(</w:t>
      </w:r>
      <w:hyperlink w:anchor="ref-huangfu2018">
        <w:r>
          <w:rPr>
            <w:rStyle w:val="Hyperlink"/>
          </w:rPr>
          <w:t xml:space="preserve">Huangfu and Hall 2018</w:t>
        </w:r>
      </w:hyperlink>
      <w:r>
        <w:t xml:space="preserve">)</w:t>
      </w:r>
      <w:r>
        <w:t xml:space="preserve"> </w:t>
      </w:r>
      <w:r>
        <w:t xml:space="preserve">within a two-second limit. (When the limit is reached</w:t>
      </w:r>
      <w:r>
        <w:t xml:space="preserve"> </w:t>
      </w:r>
      <w:r>
        <w:t xml:space="preserve">the best solution found is used; because the final choice is the nearest</w:t>
      </w:r>
      <w:r>
        <w:t xml:space="preserve"> </w:t>
      </w:r>
      <w:r>
        <w:t xml:space="preserve">window holding a passing area, it rarely depends on how far the solver got</w:t>
      </w:r>
      <w:r>
        <w:t xml:space="preserve"> </w:t>
      </w:r>
      <w:r>
        <w:t xml:space="preserve">within a window.)</w:t>
      </w:r>
    </w:p>
    <w:p>
      <w:pPr>
        <w:pStyle w:val="BodyText"/>
      </w:pPr>
      <w:r>
        <w:rPr>
          <w:iCs/>
          <w:i/>
        </w:rPr>
        <w:t xml:space="preserve">No holes.</w:t>
      </w:r>
      <w:r>
        <w:t xml:space="preserve"> </w:t>
      </w:r>
      <w:r>
        <w:t xml:space="preserve">A control area should be a single area an analyst can outline,</w:t>
      </w:r>
      <w:r>
        <w:t xml:space="preserve"> </w:t>
      </w:r>
      <w:r>
        <w:t xml:space="preserve">with no unselected pockets inside it. Two more sets of linear constraints</w:t>
      </w:r>
      <w:r>
        <w:t xml:space="preserve"> </w:t>
      </w:r>
      <w:r>
        <w:t xml:space="preserve">rule out the simplest holes: a unit whose neighbors all lie in the window</w:t>
      </w:r>
      <w:r>
        <w:t xml:space="preserve"> </w:t>
      </w:r>
      <w:r>
        <w:t xml:space="preserve">must be selected if all of them are,</w:t>
      </w:r>
      <w:r>
        <w:t xml:space="preserve"> </w:t>
      </w:r>
      <m:oMath>
        <m:sSub>
          <m:e>
            <m:r>
              <m:t>z</m:t>
            </m:r>
          </m:e>
          <m:sub>
            <m:r>
              <m:t>i</m:t>
            </m:r>
          </m:sub>
        </m:sSub>
        <m:r>
          <m:rPr>
            <m:sty m:val="p"/>
          </m:rPr>
          <m:t>≥</m:t>
        </m:r>
        <m:nary>
          <m:naryPr>
            <m:chr m:val="∑"/>
            <m:limLoc m:val="undOvr"/>
            <m:subHide m:val="off"/>
            <m:supHide m:val="on"/>
          </m:naryPr>
          <m:sub>
            <m:r>
              <m:t>j</m:t>
            </m:r>
            <m:r>
              <m:rPr>
                <m:sty m:val="p"/>
              </m:rPr>
              <m:t>∈</m:t>
            </m:r>
            <m:r>
              <m:t>N</m:t>
            </m:r>
            <m:d>
              <m:dPr>
                <m:begChr m:val="("/>
                <m:endChr m:val=")"/>
                <m:sepChr m:val=""/>
                <m:grow/>
              </m:dPr>
              <m:e>
                <m:r>
                  <m:t>i</m:t>
                </m:r>
              </m:e>
            </m:d>
          </m:sub>
          <m:sup>
            <m:r>
              <m:t>​</m:t>
            </m:r>
          </m:sup>
          <m:e>
            <m:sSub>
              <m:e>
                <m:r>
                  <m:t>z</m:t>
                </m:r>
              </m:e>
              <m:sub>
                <m:r>
                  <m:t>j</m:t>
                </m:r>
              </m:sub>
            </m:sSub>
          </m:e>
        </m:nary>
        <m:r>
          <m:rPr>
            <m:sty m:val="p"/>
          </m:rPr>
          <m:t>−</m:t>
        </m:r>
        <m:d>
          <m:dPr>
            <m:begChr m:val="("/>
            <m:endChr m:val=")"/>
            <m:sepChr m:val=""/>
            <m:grow/>
          </m:dPr>
          <m:e>
            <m:sSub>
              <m:e>
                <m:r>
                  <m:rPr>
                    <m:nor/>
                    <m:sty m:val="p"/>
                  </m:rPr>
                  <m:t>deg</m:t>
                </m:r>
              </m:e>
              <m:sub>
                <m:r>
                  <m:t>i</m:t>
                </m:r>
              </m:sub>
            </m:sSub>
            <m:r>
              <m:rPr>
                <m:sty m:val="p"/>
              </m:rPr>
              <m:t>−</m:t>
            </m:r>
            <m:r>
              <m:t>1</m:t>
            </m:r>
          </m:e>
        </m:d>
      </m:oMath>
      <w:r>
        <w:t xml:space="preserve">, and a unit that cannot be selected (in the buffer, or</w:t>
      </w:r>
      <w:r>
        <w:t xml:space="preserve"> </w:t>
      </w:r>
      <w:r>
        <w:t xml:space="preserve">excluded) must not be completely surrounded,</w:t>
      </w:r>
      <w:r>
        <w:t xml:space="preserve"> </w:t>
      </w:r>
      <m:oMath>
        <m:nary>
          <m:naryPr>
            <m:chr m:val="∑"/>
            <m:limLoc m:val="undOvr"/>
            <m:subHide m:val="off"/>
            <m:supHide m:val="on"/>
          </m:naryPr>
          <m:sub>
            <m:r>
              <m:t>j</m:t>
            </m:r>
            <m:r>
              <m:rPr>
                <m:sty m:val="p"/>
              </m:rPr>
              <m:t>∈</m:t>
            </m:r>
            <m:r>
              <m:t>N</m:t>
            </m:r>
            <m:d>
              <m:dPr>
                <m:begChr m:val="("/>
                <m:endChr m:val=")"/>
                <m:sepChr m:val=""/>
                <m:grow/>
              </m:dPr>
              <m:e>
                <m:r>
                  <m:t>u</m:t>
                </m:r>
              </m:e>
            </m:d>
          </m:sub>
          <m:sup>
            <m:r>
              <m:t>​</m:t>
            </m:r>
          </m:sup>
          <m:e>
            <m:sSub>
              <m:e>
                <m:r>
                  <m:t>z</m:t>
                </m:r>
              </m:e>
              <m:sub>
                <m:r>
                  <m:t>j</m:t>
                </m:r>
              </m:sub>
            </m:sSub>
          </m:e>
        </m:nary>
        <m:r>
          <m:rPr>
            <m:sty m:val="p"/>
          </m:rPr>
          <m:t>≤</m:t>
        </m:r>
        <m:sSub>
          <m:e>
            <m:r>
              <m:rPr>
                <m:nor/>
                <m:sty m:val="p"/>
              </m:rPr>
              <m:t>deg</m:t>
            </m:r>
          </m:e>
          <m:sub>
            <m:r>
              <m:t>u</m:t>
            </m:r>
          </m:sub>
        </m:sSub>
        <m:r>
          <m:rPr>
            <m:sty m:val="p"/>
          </m:rPr>
          <m:t>−</m:t>
        </m:r>
        <m:r>
          <m:t>1</m:t>
        </m:r>
      </m:oMath>
      <w:r>
        <w:t xml:space="preserve">. Units on the edge of the study region are exempt, since</w:t>
      </w:r>
      <w:r>
        <w:t xml:space="preserve"> </w:t>
      </w:r>
      <w:r>
        <w:t xml:space="preserve">they cannot be enclosed. Any larger pocket of eligible units that is still</w:t>
      </w:r>
      <w:r>
        <w:t xml:space="preserve"> </w:t>
      </w:r>
      <w:r>
        <w:t xml:space="preserve">enclosed after solving is added to the area, the filled area is checked</w:t>
      </w:r>
      <w:r>
        <w:t xml:space="preserve"> </w:t>
      </w:r>
      <w:r>
        <w:t xml:space="preserve">again, and areas are ranked by their filled versions, so every area the</w:t>
      </w:r>
      <w:r>
        <w:t xml:space="preserve"> </w:t>
      </w:r>
      <w:r>
        <w:t xml:space="preserve">search reports, including the scan’s network circles, has no holes.</w:t>
      </w:r>
    </w:p>
    <w:p>
      <w:pPr>
        <w:pStyle w:val="BodyText"/>
      </w:pPr>
      <w:r>
        <w:rPr>
          <w:iCs/>
          <w:i/>
        </w:rPr>
        <w:t xml:space="preserve">Shape refinement.</w:t>
      </w:r>
      <w:r>
        <w:t xml:space="preserve"> </w:t>
      </w:r>
      <w:r>
        <w:t xml:space="preserve">Minimizing distance alone selects the units it needs</w:t>
      </w:r>
      <w:r>
        <w:t xml:space="preserve"> </w:t>
      </w:r>
      <w:r>
        <w:t xml:space="preserve">and connects them with as few others as possible, which can leave thin</w:t>
      </w:r>
      <w:r>
        <w:t xml:space="preserve"> </w:t>
      </w:r>
      <w:r>
        <w:t xml:space="preserve">tendrils. For the eight best passing areas the program is solved again with</w:t>
      </w:r>
      <w:r>
        <w:t xml:space="preserve"> </w:t>
      </w:r>
      <w:r>
        <w:t xml:space="preserve">the area’s perimeter added to the objective, counted as adjacencies between</w:t>
      </w:r>
      <w:r>
        <w:t xml:space="preserve"> </w:t>
      </w:r>
      <w:r>
        <w:t xml:space="preserve">a selected and an unselected unit,</w:t>
      </w:r>
      <w:r>
        <w:t xml:space="preserve"> </w:t>
      </w:r>
      <m:oMath>
        <m:nary>
          <m:naryPr>
            <m:chr m:val="∑"/>
            <m:limLoc m:val="undOvr"/>
            <m:subHide m:val="off"/>
            <m:supHide m:val="on"/>
          </m:naryPr>
          <m:sub>
            <m:r>
              <m:t>i</m:t>
            </m:r>
          </m:sub>
          <m:sup>
            <m:r>
              <m:t>​</m:t>
            </m:r>
          </m:sup>
          <m:e>
            <m:sSub>
              <m:e>
                <m:r>
                  <m:rPr>
                    <m:nor/>
                    <m:sty m:val="p"/>
                  </m:rPr>
                  <m:t>deg</m:t>
                </m:r>
              </m:e>
              <m:sub>
                <m:r>
                  <m:t>i</m:t>
                </m:r>
              </m:sub>
            </m:sSub>
          </m:e>
        </m:nary>
        <m:sSub>
          <m:e>
            <m:r>
              <m:t>z</m:t>
            </m:r>
          </m:e>
          <m:sub>
            <m:r>
              <m:t>i</m:t>
            </m:r>
          </m:sub>
        </m:sSub>
        <m:r>
          <m:rPr>
            <m:sty m:val="p"/>
          </m:rPr>
          <m:t>−</m:t>
        </m:r>
        <m:r>
          <m:t>2</m:t>
        </m:r>
        <m:nary>
          <m:naryPr>
            <m:chr m:val="∑"/>
            <m:limLoc m:val="undOvr"/>
            <m:subHide m:val="off"/>
            <m:supHide m:val="on"/>
          </m:naryPr>
          <m:sub>
            <m:d>
              <m:dPr>
                <m:begChr m:val="("/>
                <m:endChr m:val=")"/>
                <m:sepChr m:val=""/>
                <m:grow/>
              </m:dPr>
              <m:e>
                <m:r>
                  <m:t>i</m:t>
                </m:r>
                <m:r>
                  <m:rPr>
                    <m:sty m:val="p"/>
                  </m:rPr>
                  <m:t>,</m:t>
                </m:r>
                <m:r>
                  <m:t>j</m:t>
                </m:r>
              </m:e>
            </m:d>
          </m:sub>
          <m:sup>
            <m:r>
              <m:t>​</m:t>
            </m:r>
          </m:sup>
          <m:e>
            <m:sSub>
              <m:e>
                <m:r>
                  <m:t>w</m:t>
                </m:r>
              </m:e>
              <m:sub>
                <m:r>
                  <m:t>i</m:t>
                </m:r>
                <m:r>
                  <m:t>j</m:t>
                </m:r>
              </m:sub>
            </m:sSub>
          </m:e>
        </m:nary>
      </m:oMath>
      <w:r>
        <w:t xml:space="preserve"> </w:t>
      </w:r>
      <w:r>
        <w:t xml:space="preserve">with</w:t>
      </w:r>
      <w:r>
        <w:t xml:space="preserve"> </w:t>
      </w:r>
      <m:oMath>
        <m:sSub>
          <m:e>
            <m:r>
              <m:t>w</m:t>
            </m:r>
          </m:e>
          <m:sub>
            <m:r>
              <m:t>i</m:t>
            </m:r>
            <m:r>
              <m:t>j</m:t>
            </m:r>
          </m:sub>
        </m:sSub>
        <m:r>
          <m:rPr>
            <m:sty m:val="p"/>
          </m:rPr>
          <m:t>≤</m:t>
        </m:r>
        <m:sSub>
          <m:e>
            <m:r>
              <m:t>z</m:t>
            </m:r>
          </m:e>
          <m:sub>
            <m:r>
              <m:t>i</m:t>
            </m:r>
          </m:sub>
        </m:sSub>
      </m:oMath>
      <w:r>
        <w:t xml:space="preserve"> </w:t>
      </w:r>
      <w:r>
        <w:t xml:space="preserve">and</w:t>
      </w:r>
      <w:r>
        <w:t xml:space="preserve"> </w:t>
      </w:r>
      <m:oMath>
        <m:sSub>
          <m:e>
            <m:r>
              <m:t>w</m:t>
            </m:r>
          </m:e>
          <m:sub>
            <m:r>
              <m:t>i</m:t>
            </m:r>
            <m:r>
              <m:t>j</m:t>
            </m:r>
          </m:sub>
        </m:sSub>
        <m:r>
          <m:rPr>
            <m:sty m:val="p"/>
          </m:rPr>
          <m:t>≤</m:t>
        </m:r>
        <m:sSub>
          <m:e>
            <m:r>
              <m:t>z</m:t>
            </m:r>
          </m:e>
          <m:sub>
            <m:r>
              <m:t>j</m:t>
            </m:r>
          </m:sub>
        </m:sSub>
      </m:oMath>
      <w:r>
        <w:t xml:space="preserve"> </w:t>
      </w:r>
      <w:r>
        <w:t xml:space="preserve">for each adjacent pair, warm-started from the first</w:t>
      </w:r>
      <w:r>
        <w:t xml:space="preserve"> </w:t>
      </w:r>
      <w:r>
        <w:t xml:space="preserve">solution and allowed ten seconds. That trims tendrils and rounds out the</w:t>
      </w:r>
      <w:r>
        <w:t xml:space="preserve"> </w:t>
      </w:r>
      <w:r>
        <w:t xml:space="preserve">boundary whenever doing so keeps the area passing.</w:t>
      </w:r>
    </w:p>
    <w:p>
      <w:pPr>
        <w:pStyle w:val="BodyText"/>
      </w:pPr>
      <w:r>
        <w:rPr>
          <w:iCs/>
          <w:i/>
        </w:rPr>
        <w:t xml:space="preserve">One place should not be the control.</w:t>
      </w:r>
      <w:r>
        <w:t xml:space="preserve"> </w:t>
      </w:r>
      <w:r>
        <w:t xml:space="preserve">A census block holding a big-box</w:t>
      </w:r>
      <w:r>
        <w:t xml:space="preserve"> </w:t>
      </w:r>
      <w:r>
        <w:t xml:space="preserve">store or a large apartment complex can carry a large share of an area’s</w:t>
      </w:r>
      <w:r>
        <w:t xml:space="preserve"> </w:t>
      </w:r>
      <w:r>
        <w:t xml:space="preserve">crime, and its counts can jump or vanish for reasons unrelated to the</w:t>
      </w:r>
      <w:r>
        <w:t xml:space="preserve"> </w:t>
      </w:r>
      <w:r>
        <w:t xml:space="preserve">intervention (the store closes, or changes how it reports shoplifting).</w:t>
      </w:r>
      <w:r>
        <w:t xml:space="preserve"> </w:t>
      </w:r>
      <w:r>
        <w:t xml:space="preserve">Synthetic control practice already advises dropping donors hit by such</w:t>
      </w:r>
      <w:r>
        <w:t xml:space="preserve"> </w:t>
      </w:r>
      <w:r>
        <w:t xml:space="preserve">idiosyncratic shocks</w:t>
      </w:r>
      <w:r>
        <w:t xml:space="preserve"> </w:t>
      </w:r>
      <w:r>
        <w:t xml:space="preserve">(</w:t>
      </w:r>
      <w:hyperlink w:anchor="ref-abadie2021">
        <w:r>
          <w:rPr>
            <w:rStyle w:val="Hyperlink"/>
          </w:rPr>
          <w:t xml:space="preserve">Abadie 2021</w:t>
        </w:r>
      </w:hyperlink>
      <w:r>
        <w:t xml:space="preserve">)</w:t>
      </w:r>
      <w:r>
        <w:t xml:space="preserve">. Because the post-period should not be</w:t>
      </w:r>
      <w:r>
        <w:t xml:space="preserve"> </w:t>
      </w:r>
      <w:r>
        <w:t xml:space="preserve">used to choose the control, I apply a design-stage rule instead: in the case</w:t>
      </w:r>
      <w:r>
        <w:t xml:space="preserve"> </w:t>
      </w:r>
      <w:r>
        <w:t xml:space="preserve">studies, no block holding more than 20% of the treated area’s pre-period</w:t>
      </w:r>
      <w:r>
        <w:t xml:space="preserve"> </w:t>
      </w:r>
      <w:r>
        <w:t xml:space="preserve">crime can be part of any method’s control.</w:t>
      </w:r>
      <w:r>
        <w:t xml:space="preserve"> </w:t>
      </w:r>
      <w:hyperlink w:anchor="sec-nyc">
        <w:r>
          <w:rPr>
            <w:rStyle w:val="Hyperlink"/>
          </w:rPr>
          <w:t xml:space="preserve">Section 6</w:t>
        </w:r>
      </w:hyperlink>
      <w:r>
        <w:t xml:space="preserve"> </w:t>
      </w:r>
      <w:r>
        <w:t xml:space="preserve">shows what this guards</w:t>
      </w:r>
      <w:r>
        <w:t xml:space="preserve"> </w:t>
      </w:r>
      <w:r>
        <w:t xml:space="preserve">against.</w:t>
      </w:r>
    </w:p>
    <w:bookmarkEnd w:id="27"/>
    <w:bookmarkStart w:id="28" w:name="comparison-control-areas"/>
    <w:p>
      <w:pPr>
        <w:pStyle w:val="Heading2"/>
      </w:pPr>
      <w:r>
        <w:t xml:space="preserve">3.4 Comparison control areas</w:t>
      </w:r>
    </w:p>
    <w:p>
      <w:pPr>
        <w:pStyle w:val="FirstParagraph"/>
      </w:pPr>
      <w:r>
        <w:t xml:space="preserve">I compare the contiguous control area with five alternatives.</w:t>
      </w:r>
    </w:p>
    <w:p>
      <w:pPr>
        <w:numPr>
          <w:ilvl w:val="0"/>
          <w:numId w:val="1002"/>
        </w:numPr>
        <w:pStyle w:val="Compact"/>
      </w:pPr>
      <w:r>
        <w:rPr>
          <w:iCs/>
          <w:i/>
        </w:rPr>
        <w:t xml:space="preserve">Ring:</w:t>
      </w:r>
      <w:r>
        <w:t xml:space="preserve"> </w:t>
      </w:r>
      <w:r>
        <w:t xml:space="preserve">candidate units in the band just outside the buffer (from one to</w:t>
      </w:r>
      <w:r>
        <w:t xml:space="preserve"> </w:t>
      </w:r>
      <w:r>
        <w:t xml:space="preserve">two times the buffer distance from the treated area), a common informal</w:t>
      </w:r>
      <w:r>
        <w:t xml:space="preserve"> </w:t>
      </w:r>
      <w:r>
        <w:t xml:space="preserve">choice, scaled by its pre-period crime relative to the treated area’s.</w:t>
      </w:r>
    </w:p>
    <w:p>
      <w:pPr>
        <w:numPr>
          <w:ilvl w:val="0"/>
          <w:numId w:val="1002"/>
        </w:numPr>
        <w:pStyle w:val="Compact"/>
      </w:pPr>
      <w:r>
        <w:rPr>
          <w:iCs/>
          <w:i/>
        </w:rPr>
        <w:t xml:space="preserve">City:</w:t>
      </w:r>
      <w:r>
        <w:t xml:space="preserve"> </w:t>
      </w:r>
      <w:r>
        <w:t xml:space="preserve">every candidate unit, scaled the same way, which amounts to</w:t>
      </w:r>
      <w:r>
        <w:t xml:space="preserve"> </w:t>
      </w:r>
      <w:r>
        <w:t xml:space="preserve">comparing the treated area’s change with the city-wide (or borough-wide)</w:t>
      </w:r>
      <w:r>
        <w:t xml:space="preserve"> </w:t>
      </w:r>
      <w:r>
        <w:t xml:space="preserve">trend.</w:t>
      </w:r>
    </w:p>
    <w:p>
      <w:pPr>
        <w:numPr>
          <w:ilvl w:val="0"/>
          <w:numId w:val="1002"/>
        </w:numPr>
        <w:pStyle w:val="Compact"/>
      </w:pPr>
      <w:r>
        <w:rPr>
          <w:iCs/>
          <w:i/>
        </w:rPr>
        <w:t xml:space="preserve">Scan:</w:t>
      </w:r>
      <w:r>
        <w:t xml:space="preserve"> </w:t>
      </w:r>
      <w:r>
        <w:t xml:space="preserve">the best network circle from the screening step: contiguous and</w:t>
      </w:r>
      <w:r>
        <w:t xml:space="preserve"> </w:t>
      </w:r>
      <w:r>
        <w:t xml:space="preserve">passing if any circle passes, but with no shape optimization.</w:t>
      </w:r>
    </w:p>
    <w:p>
      <w:pPr>
        <w:numPr>
          <w:ilvl w:val="0"/>
          <w:numId w:val="1002"/>
        </w:numPr>
        <w:pStyle w:val="Compact"/>
      </w:pPr>
      <w:r>
        <w:rPr>
          <w:iCs/>
          <w:i/>
        </w:rPr>
        <w:t xml:space="preserve">Best fit:</w:t>
      </w:r>
      <w:r>
        <w:t xml:space="preserve"> </w:t>
      </w:r>
      <w:r>
        <w:t xml:space="preserve">the contiguous area minimizing</w:t>
      </w:r>
      <w:r>
        <w:t xml:space="preserve"> </w:t>
      </w:r>
      <m:oMath>
        <m:r>
          <m:t>F</m:t>
        </m:r>
        <m:d>
          <m:dPr>
            <m:begChr m:val="("/>
            <m:endChr m:val=")"/>
            <m:sepChr m:val=""/>
            <m:grow/>
          </m:dPr>
          <m:e>
            <m:r>
              <m:t>S</m:t>
            </m:r>
          </m:e>
        </m:d>
      </m:oMath>
      <w:r>
        <w:t xml:space="preserve">, from the same search with</w:t>
      </w:r>
      <w:r>
        <w:t xml:space="preserve"> </w:t>
      </w:r>
      <w:r>
        <w:t xml:space="preserve">the fit as the objective and no thresholds.</w:t>
      </w:r>
    </w:p>
    <w:p>
      <w:pPr>
        <w:numPr>
          <w:ilvl w:val="0"/>
          <w:numId w:val="1002"/>
        </w:numPr>
        <w:pStyle w:val="Compact"/>
      </w:pPr>
      <w:r>
        <w:rPr>
          <w:iCs/>
          <w:i/>
        </w:rPr>
        <w:t xml:space="preserve">Microsynth:</w:t>
      </w:r>
      <w:r>
        <w:t xml:space="preserve"> </w:t>
      </w:r>
      <w:r>
        <w:t xml:space="preserve">raking weights over every candidate unit matching the treated</w:t>
      </w:r>
      <w:r>
        <w:t xml:space="preserve"> </w:t>
      </w:r>
      <w:r>
        <w:t xml:space="preserve">area’s monthly pre-period counts and the number of treated units exactly,</w:t>
      </w:r>
      <w:r>
        <w:t xml:space="preserve"> </w:t>
      </w:r>
      <w:r>
        <w:t xml:space="preserve">as above. I match only the monthly outcome counts, not covariates, so</w:t>
      </w:r>
      <w:r>
        <w:t xml:space="preserve"> </w:t>
      </w:r>
      <w:r>
        <w:t xml:space="preserve">every method sees the same information.</w:t>
      </w:r>
    </w:p>
    <w:p>
      <w:pPr>
        <w:pStyle w:val="FirstParagraph"/>
      </w:pPr>
      <w:r>
        <w:t xml:space="preserve">I compute microsynth’s weights with the raking algorithm of survey</w:t>
      </w:r>
      <w:r>
        <w:t xml:space="preserve"> </w:t>
      </w:r>
      <w:r>
        <w:t xml:space="preserve">calibration</w:t>
      </w:r>
      <w:r>
        <w:t xml:space="preserve"> </w:t>
      </w:r>
      <w:r>
        <w:t xml:space="preserve">(</w:t>
      </w:r>
      <w:hyperlink w:anchor="ref-deville1992">
        <w:r>
          <w:rPr>
            <w:rStyle w:val="Hyperlink"/>
          </w:rPr>
          <w:t xml:space="preserve">Deville and Särndal 1992</w:t>
        </w:r>
      </w:hyperlink>
      <w:r>
        <w:t xml:space="preserve">)</w:t>
      </w:r>
      <w:r>
        <w:t xml:space="preserve">, Newton’s method on the dual of the problem</w:t>
      </w:r>
      <w:r>
        <w:t xml:space="preserve"> </w:t>
      </w:r>
      <w:r>
        <w:t xml:space="preserve">above, which reproduces the convex program’s solution. When the intercept</w:t>
      </w:r>
      <w:r>
        <w:t xml:space="preserve"> </w:t>
      </w:r>
      <w:r>
        <w:t xml:space="preserve">constraint makes exact calibration infeasible, as it does when the treated</w:t>
      </w:r>
      <w:r>
        <w:t xml:space="preserve"> </w:t>
      </w:r>
      <w:r>
        <w:t xml:space="preserve">area is much hotter per unit than typical donors, I drop it and calibrate</w:t>
      </w:r>
      <w:r>
        <w:t xml:space="preserve"> </w:t>
      </w:r>
      <w:r>
        <w:t xml:space="preserve">on the outcomes alone, which is microsynth’s own fallback of matching fewer</w:t>
      </w:r>
      <w:r>
        <w:t xml:space="preserve"> </w:t>
      </w:r>
      <w:r>
        <w:t xml:space="preserve">variables exactly.</w:t>
      </w:r>
    </w:p>
    <w:p>
      <w:pPr>
        <w:pStyle w:val="BodyText"/>
      </w:pPr>
      <w:r>
        <w:t xml:space="preserve">For the weighted microsynth control, the WDD uses weighted counts</w:t>
      </w:r>
      <w:r>
        <w:t xml:space="preserve"> </w:t>
      </w:r>
      <m:oMath>
        <m:sSub>
          <m:e>
            <m:r>
              <m:t>C</m:t>
            </m:r>
          </m:e>
          <m:sub>
            <m:r>
              <m:t>0</m:t>
            </m:r>
          </m:sub>
        </m:sSub>
        <m:r>
          <m:rPr>
            <m:sty m:val="p"/>
          </m:rPr>
          <m:t>=</m:t>
        </m:r>
        <m:nary>
          <m:naryPr>
            <m:chr m:val="∑"/>
            <m:limLoc m:val="undOvr"/>
            <m:subHide m:val="off"/>
            <m:supHide m:val="on"/>
          </m:naryPr>
          <m:sub>
            <m:r>
              <m:t>i</m:t>
            </m:r>
          </m:sub>
          <m:sup>
            <m:r>
              <m:t>​</m:t>
            </m:r>
          </m:sup>
          <m:e>
            <m:sSub>
              <m:e>
                <m:r>
                  <m:t>w</m:t>
                </m:r>
              </m:e>
              <m:sub>
                <m:r>
                  <m:t>i</m:t>
                </m:r>
              </m:sub>
            </m:sSub>
          </m:e>
        </m:nary>
        <m:sSub>
          <m:e>
            <m:r>
              <m:t>c</m:t>
            </m:r>
          </m:e>
          <m:sub>
            <m:r>
              <m:t>0</m:t>
            </m:r>
            <m:r>
              <m:t>i</m:t>
            </m:r>
          </m:sub>
        </m:sSub>
      </m:oMath>
      <w:r>
        <w:t xml:space="preserve"> </w:t>
      </w:r>
      <w:r>
        <w:t xml:space="preserve">and</w:t>
      </w:r>
      <w:r>
        <w:t xml:space="preserve"> </w:t>
      </w:r>
      <m:oMath>
        <m:sSub>
          <m:e>
            <m:r>
              <m:t>C</m:t>
            </m:r>
          </m:e>
          <m:sub>
            <m:r>
              <m:t>1</m:t>
            </m:r>
          </m:sub>
        </m:sSub>
        <m:r>
          <m:rPr>
            <m:sty m:val="p"/>
          </m:rPr>
          <m:t>=</m:t>
        </m:r>
        <m:nary>
          <m:naryPr>
            <m:chr m:val="∑"/>
            <m:limLoc m:val="undOvr"/>
            <m:subHide m:val="off"/>
            <m:supHide m:val="on"/>
          </m:naryPr>
          <m:sub>
            <m:r>
              <m:t>i</m:t>
            </m:r>
          </m:sub>
          <m:sup>
            <m:r>
              <m:t>​</m:t>
            </m:r>
          </m:sup>
          <m:e>
            <m:sSub>
              <m:e>
                <m:r>
                  <m:t>w</m:t>
                </m:r>
              </m:e>
              <m:sub>
                <m:r>
                  <m:t>i</m:t>
                </m:r>
              </m:sub>
            </m:sSub>
          </m:e>
        </m:nary>
        <m:sSub>
          <m:e>
            <m:r>
              <m:t>c</m:t>
            </m:r>
          </m:e>
          <m:sub>
            <m:r>
              <m:t>1</m:t>
            </m:r>
            <m:r>
              <m:t>i</m:t>
            </m:r>
          </m:sub>
        </m:sSub>
      </m:oMath>
      <w:r>
        <w:t xml:space="preserve">, with Poisson variance</w:t>
      </w:r>
      <w:r>
        <w:t xml:space="preserve"> </w:t>
      </w:r>
      <m:oMath>
        <m:nary>
          <m:naryPr>
            <m:chr m:val="∑"/>
            <m:limLoc m:val="undOvr"/>
            <m:subHide m:val="off"/>
            <m:supHide m:val="on"/>
          </m:naryPr>
          <m:sub>
            <m:r>
              <m:t>i</m:t>
            </m:r>
          </m:sub>
          <m:sup>
            <m:r>
              <m:t>​</m:t>
            </m:r>
          </m:sup>
          <m:e>
            <m:sSubSup>
              <m:e>
                <m:r>
                  <m:t>w</m:t>
                </m:r>
              </m:e>
              <m:sub>
                <m:r>
                  <m:t>i</m:t>
                </m:r>
              </m:sub>
              <m:sup>
                <m:r>
                  <m:t>2</m:t>
                </m:r>
              </m:sup>
            </m:sSubSup>
          </m:e>
        </m:nary>
        <m:d>
          <m:dPr>
            <m:begChr m:val="("/>
            <m:endChr m:val=")"/>
            <m:sepChr m:val=""/>
            <m:grow/>
          </m:dPr>
          <m:e>
            <m:sSub>
              <m:e>
                <m:r>
                  <m:t>c</m:t>
                </m:r>
              </m:e>
              <m:sub>
                <m:r>
                  <m:t>0</m:t>
                </m:r>
                <m:r>
                  <m:t>i</m:t>
                </m:r>
              </m:sub>
            </m:sSub>
            <m:r>
              <m:rPr>
                <m:sty m:val="p"/>
              </m:rPr>
              <m:t>+</m:t>
            </m:r>
            <m:sSub>
              <m:e>
                <m:r>
                  <m:t>c</m:t>
                </m:r>
              </m:e>
              <m:sub>
                <m:r>
                  <m:t>1</m:t>
                </m:r>
                <m:r>
                  <m:t>i</m:t>
                </m:r>
              </m:sub>
            </m:sSub>
          </m:e>
        </m:d>
      </m:oMath>
      <w:r>
        <w:t xml:space="preserve"> </w:t>
      </w:r>
      <w:r>
        <w:t xml:space="preserve">for the control part. All WDD estimates</w:t>
      </w:r>
      <w:r>
        <w:t xml:space="preserve"> </w:t>
      </w:r>
      <w:r>
        <w:t xml:space="preserve">compare equal-length windows before and after the intervention. The WDD’s</w:t>
      </w:r>
      <w:r>
        <w:t xml:space="preserve"> </w:t>
      </w:r>
      <w:r>
        <w:t xml:space="preserve">Poisson standard error can be put on the same quasi-Poisson footing as the</w:t>
      </w:r>
      <w:r>
        <w:t xml:space="preserve"> </w:t>
      </w:r>
      <w:r>
        <w:t xml:space="preserve">thresholds by multiplying it by</w:t>
      </w:r>
      <w:r>
        <w:t xml:space="preserve"> </w:t>
      </w:r>
      <m:oMath>
        <m:rad>
          <m:radPr>
            <m:degHide m:val="on"/>
          </m:radPr>
          <m:deg/>
          <m:e>
            <m:r>
              <m:t>ϕ</m:t>
            </m:r>
          </m:e>
        </m:rad>
      </m:oMath>
      <w:r>
        <w:t xml:space="preserve">; I report both.</w:t>
      </w:r>
    </w:p>
    <w:bookmarkEnd w:id="28"/>
    <w:bookmarkStart w:id="29" w:name="a-running-wdd"/>
    <w:p>
      <w:pPr>
        <w:pStyle w:val="Heading2"/>
      </w:pPr>
      <w:r>
        <w:t xml:space="preserve">3.5 A running WDD</w:t>
      </w:r>
    </w:p>
    <w:p>
      <w:pPr>
        <w:pStyle w:val="FirstParagraph"/>
      </w:pPr>
      <w:r>
        <w:t xml:space="preserve">Once the control area is chosen, the WDD can be tracked month by month</w:t>
      </w:r>
      <w:r>
        <w:t xml:space="preserve"> </w:t>
      </w:r>
      <w:r>
        <w:t xml:space="preserve">after the intervention, the cumulative counter of crimes prevented that</w:t>
      </w:r>
      <w:r>
        <w:t xml:space="preserve"> </w:t>
      </w:r>
      <w:r>
        <w:t xml:space="preserve">Wheeler (</w:t>
      </w:r>
      <w:hyperlink w:anchor="ref-wheeler2024compstat">
        <w:r>
          <w:rPr>
            <w:rStyle w:val="Hyperlink"/>
          </w:rPr>
          <w:t xml:space="preserve">2024</w:t>
        </w:r>
      </w:hyperlink>
      <w:r>
        <w:t xml:space="preserve">)</w:t>
      </w:r>
      <w:r>
        <w:t xml:space="preserve"> </w:t>
      </w:r>
      <w:r>
        <w:t xml:space="preserve">suggests for CompStat follow-up. With</w:t>
      </w:r>
      <w:r>
        <w:t xml:space="preserve"> </w:t>
      </w:r>
      <m:oMath>
        <m:sSub>
          <m:e>
            <m:r>
              <m:t>T</m:t>
            </m:r>
          </m:e>
          <m:sub>
            <m:r>
              <m:t>j</m:t>
            </m:r>
          </m:sub>
        </m:sSub>
      </m:oMath>
      <w:r>
        <w:t xml:space="preserve"> </w:t>
      </w:r>
      <w:r>
        <w:t xml:space="preserve">and</w:t>
      </w:r>
      <w:r>
        <w:t xml:space="preserve"> </w:t>
      </w:r>
      <m:oMath>
        <m:sSub>
          <m:e>
            <m:r>
              <m:t>C</m:t>
            </m:r>
          </m:e>
          <m:sub>
            <m:r>
              <m:t>j</m:t>
            </m:r>
          </m:sub>
        </m:sSub>
      </m:oMath>
      <w:r>
        <w:t xml:space="preserve"> </w:t>
      </w:r>
      <w:r>
        <w:t xml:space="preserve">the counts in post month</w:t>
      </w:r>
      <w:r>
        <w:t xml:space="preserve"> </w:t>
      </w:r>
      <m:oMath>
        <m:r>
          <m:t>j</m:t>
        </m:r>
      </m:oMath>
      <w:r>
        <w:t xml:space="preserve"> </w:t>
      </w:r>
      <w:r>
        <w:t xml:space="preserve">and a baseline of</w:t>
      </w:r>
      <w:r>
        <w:t xml:space="preserve"> </w:t>
      </w:r>
      <m:oMath>
        <m:r>
          <m:t>B</m:t>
        </m:r>
      </m:oMath>
      <w:r>
        <w:t xml:space="preserve"> </w:t>
      </w:r>
      <w:r>
        <w:t xml:space="preserve">months before the</w:t>
      </w:r>
      <w:r>
        <w:t xml:space="preserve"> </w:t>
      </w:r>
      <w:r>
        <w:t xml:space="preserve">intervention, the running estimate after</w:t>
      </w:r>
      <w:r>
        <w:t xml:space="preserve"> </w:t>
      </w:r>
      <m:oMath>
        <m:r>
          <m:t>m</m:t>
        </m:r>
      </m:oMath>
      <w:r>
        <w:t xml:space="preserve"> </w:t>
      </w:r>
      <w:r>
        <w:t xml:space="preserve">months is</w:t>
      </w:r>
    </w:p>
    <w:p>
      <w:pPr>
        <w:pStyle w:val="BodyText"/>
      </w:pPr>
      <m:oMathPara>
        <m:oMathParaPr>
          <m:jc m:val="center"/>
        </m:oMathParaPr>
        <m:oMath>
          <m:sSub>
            <m:e>
              <m:acc>
                <m:accPr>
                  <m:chr m:val="̂"/>
                </m:accPr>
                <m:e>
                  <m:r>
                    <m:t>Δ</m:t>
                  </m:r>
                </m:e>
              </m:acc>
            </m:e>
            <m:sub>
              <m:r>
                <m:t>m</m:t>
              </m:r>
            </m:sub>
          </m:sSub>
          <m:r>
            <m:rPr>
              <m:sty m:val="p"/>
            </m:rPr>
            <m:t>=</m:t>
          </m:r>
          <m:nary>
            <m:naryPr>
              <m:chr m:val="∑"/>
              <m:limLoc m:val="undOvr"/>
              <m:subHide m:val="off"/>
              <m:supHide m:val="off"/>
            </m:naryPr>
            <m:sub>
              <m:r>
                <m:t>j</m:t>
              </m:r>
              <m:r>
                <m:rPr>
                  <m:sty m:val="p"/>
                </m:rPr>
                <m:t>=</m:t>
              </m:r>
              <m:r>
                <m:t>1</m:t>
              </m:r>
            </m:sub>
            <m:sup>
              <m:r>
                <m:t>m</m:t>
              </m:r>
            </m:sup>
            <m:e>
              <m:d>
                <m:dPr>
                  <m:begChr m:val="("/>
                  <m:endChr m:val=")"/>
                  <m:sepChr m:val=""/>
                  <m:grow/>
                </m:dPr>
                <m:e>
                  <m:sSub>
                    <m:e>
                      <m:r>
                        <m:t>T</m:t>
                      </m:r>
                    </m:e>
                    <m:sub>
                      <m:r>
                        <m:t>j</m:t>
                      </m:r>
                    </m:sub>
                  </m:sSub>
                  <m:r>
                    <m:rPr>
                      <m:sty m:val="p"/>
                    </m:rPr>
                    <m:t>−</m:t>
                  </m:r>
                  <m:sSub>
                    <m:e>
                      <m:r>
                        <m:t>C</m:t>
                      </m:r>
                    </m:e>
                    <m:sub>
                      <m:r>
                        <m:t>j</m:t>
                      </m:r>
                    </m:sub>
                  </m:sSub>
                </m:e>
              </m:d>
            </m:e>
          </m:nary>
          <m:r>
            <m:rPr>
              <m:sty m:val="p"/>
            </m:rPr>
            <m:t>−</m:t>
          </m:r>
          <m:f>
            <m:fPr>
              <m:type m:val="bar"/>
            </m:fPr>
            <m:num>
              <m:r>
                <m:t>m</m:t>
              </m:r>
            </m:num>
            <m:den>
              <m:r>
                <m:t>B</m:t>
              </m:r>
            </m:den>
          </m:f>
          <m:nary>
            <m:naryPr>
              <m:chr m:val="∑"/>
              <m:limLoc m:val="undOvr"/>
              <m:subHide m:val="off"/>
              <m:supHide m:val="on"/>
            </m:naryPr>
            <m:sub>
              <m:r>
                <m:rPr>
                  <m:nor/>
                  <m:sty m:val="p"/>
                </m:rPr>
                <m:t>baseline</m:t>
              </m:r>
            </m:sub>
            <m:sup>
              <m:r>
                <m:t>​</m:t>
              </m:r>
            </m:sup>
            <m:e>
              <m:d>
                <m:dPr>
                  <m:begChr m:val="("/>
                  <m:endChr m:val=")"/>
                  <m:sepChr m:val=""/>
                  <m:grow/>
                </m:dPr>
                <m:e>
                  <m:r>
                    <m:t>T</m:t>
                  </m:r>
                  <m:r>
                    <m:rPr>
                      <m:sty m:val="p"/>
                    </m:rPr>
                    <m:t>−</m:t>
                  </m:r>
                  <m:r>
                    <m:t>C</m:t>
                  </m:r>
                </m:e>
              </m:d>
            </m:e>
          </m:nary>
          <m:r>
            <m:rPr>
              <m:sty m:val="p"/>
            </m:rPr>
            <m:t>,</m:t>
          </m:r>
          <m:r>
            <m:t>  </m:t>
          </m:r>
          <m:r>
            <m:rPr>
              <m:sty m:val="p"/>
            </m:rPr>
            <m:t>Var</m:t>
          </m:r>
          <m:d>
            <m:dPr>
              <m:begChr m:val="("/>
              <m:endChr m:val=")"/>
              <m:sepChr m:val=""/>
              <m:grow/>
            </m:dPr>
            <m:e>
              <m:sSub>
                <m:e>
                  <m:acc>
                    <m:accPr>
                      <m:chr m:val="̂"/>
                    </m:accPr>
                    <m:e>
                      <m:r>
                        <m:t>Δ</m:t>
                      </m:r>
                    </m:e>
                  </m:acc>
                </m:e>
                <m:sub>
                  <m:r>
                    <m:t>m</m:t>
                  </m:r>
                </m:sub>
              </m:sSub>
            </m:e>
          </m:d>
          <m:r>
            <m:rPr>
              <m:sty m:val="p"/>
            </m:rPr>
            <m:t>=</m:t>
          </m:r>
          <m:nary>
            <m:naryPr>
              <m:chr m:val="∑"/>
              <m:limLoc m:val="undOvr"/>
              <m:subHide m:val="off"/>
              <m:supHide m:val="off"/>
            </m:naryPr>
            <m:sub>
              <m:r>
                <m:t>j</m:t>
              </m:r>
              <m:r>
                <m:rPr>
                  <m:sty m:val="p"/>
                </m:rPr>
                <m:t>=</m:t>
              </m:r>
              <m:r>
                <m:t>1</m:t>
              </m:r>
            </m:sub>
            <m:sup>
              <m:r>
                <m:t>m</m:t>
              </m:r>
            </m:sup>
            <m:e>
              <m:d>
                <m:dPr>
                  <m:begChr m:val="("/>
                  <m:endChr m:val=")"/>
                  <m:sepChr m:val=""/>
                  <m:grow/>
                </m:dPr>
                <m:e>
                  <m:sSub>
                    <m:e>
                      <m:r>
                        <m:t>T</m:t>
                      </m:r>
                    </m:e>
                    <m:sub>
                      <m:r>
                        <m:t>j</m:t>
                      </m:r>
                    </m:sub>
                  </m:sSub>
                  <m:r>
                    <m:rPr>
                      <m:sty m:val="p"/>
                    </m:rPr>
                    <m:t>+</m:t>
                  </m:r>
                  <m:sSub>
                    <m:e>
                      <m:r>
                        <m:t>C</m:t>
                      </m:r>
                    </m:e>
                    <m:sub>
                      <m:r>
                        <m:t>j</m:t>
                      </m:r>
                    </m:sub>
                  </m:sSub>
                </m:e>
              </m:d>
            </m:e>
          </m:nary>
          <m:r>
            <m:rPr>
              <m:sty m:val="p"/>
            </m:rPr>
            <m:t>+</m:t>
          </m:r>
          <m:sSup>
            <m:e>
              <m:d>
                <m:dPr>
                  <m:begChr m:val="("/>
                  <m:endChr m:val=")"/>
                  <m:sepChr m:val=""/>
                  <m:grow/>
                </m:dPr>
                <m:e>
                  <m:f>
                    <m:fPr>
                      <m:type m:val="bar"/>
                    </m:fPr>
                    <m:num>
                      <m:r>
                        <m:t>m</m:t>
                      </m:r>
                    </m:num>
                    <m:den>
                      <m:r>
                        <m:t>B</m:t>
                      </m:r>
                    </m:den>
                  </m:f>
                </m:e>
              </m:d>
            </m:e>
            <m:sup>
              <m:r>
                <m:t>2</m:t>
              </m:r>
            </m:sup>
          </m:sSup>
          <m:nary>
            <m:naryPr>
              <m:chr m:val="∑"/>
              <m:limLoc m:val="undOvr"/>
              <m:subHide m:val="off"/>
              <m:supHide m:val="on"/>
            </m:naryPr>
            <m:sub>
              <m:r>
                <m:rPr>
                  <m:nor/>
                  <m:sty m:val="p"/>
                </m:rPr>
                <m:t>baseline</m:t>
              </m:r>
            </m:sub>
            <m:sup>
              <m:r>
                <m:t>​</m:t>
              </m:r>
            </m:sup>
            <m:e>
              <m:d>
                <m:dPr>
                  <m:begChr m:val="("/>
                  <m:endChr m:val=")"/>
                  <m:sepChr m:val=""/>
                  <m:grow/>
                </m:dPr>
                <m:e>
                  <m:r>
                    <m:t>T</m:t>
                  </m:r>
                  <m:r>
                    <m:rPr>
                      <m:sty m:val="p"/>
                    </m:rPr>
                    <m:t>+</m:t>
                  </m:r>
                  <m:r>
                    <m:t>C</m:t>
                  </m:r>
                </m:e>
              </m:d>
            </m:e>
          </m:nary>
          <m:r>
            <m:rPr>
              <m:sty m:val="p"/>
            </m:rPr>
            <m:t>,</m:t>
          </m:r>
        </m:oMath>
      </m:oMathPara>
    </w:p>
    <w:p>
      <w:pPr>
        <w:pStyle w:val="FirstParagraph"/>
      </w:pPr>
      <w:r>
        <w:t xml:space="preserve">the crimes prevented so far relative to the baseline gap. At</w:t>
      </w:r>
      <w:r>
        <w:t xml:space="preserve"> </w:t>
      </w:r>
      <m:oMath>
        <m:r>
          <m:t>m</m:t>
        </m:r>
        <m:r>
          <m:rPr>
            <m:sty m:val="p"/>
          </m:rPr>
          <m:t>=</m:t>
        </m:r>
        <m:r>
          <m:t>B</m:t>
        </m:r>
      </m:oMath>
      <w:r>
        <w:t xml:space="preserve"> </w:t>
      </w:r>
      <w:r>
        <w:t xml:space="preserve">it is</w:t>
      </w:r>
      <w:r>
        <w:t xml:space="preserve"> </w:t>
      </w:r>
      <w:r>
        <w:t xml:space="preserve">the WDD over equal windows. Because the control area is matched to the</w:t>
      </w:r>
      <w:r>
        <w:t xml:space="preserve"> </w:t>
      </w:r>
      <w:r>
        <w:t xml:space="preserve">treated area month by month, the plot of the running estimate starts at</w:t>
      </w:r>
      <w:r>
        <w:t xml:space="preserve"> </w:t>
      </w:r>
      <w:r>
        <w:t xml:space="preserve">zero and moves only when the treated area departs from its control.</w:t>
      </w:r>
    </w:p>
    <w:bookmarkEnd w:id="29"/>
    <w:bookmarkEnd w:id="30"/>
    <w:bookmarkStart w:id="43" w:name="synthetic-data"/>
    <w:p>
      <w:pPr>
        <w:pStyle w:val="Heading1"/>
      </w:pPr>
      <w:r>
        <w:t xml:space="preserve">4. Synthetic data</w:t>
      </w:r>
    </w:p>
    <w:bookmarkStart w:id="31" w:name="design"/>
    <w:p>
      <w:pPr>
        <w:pStyle w:val="Heading2"/>
      </w:pPr>
      <w:r>
        <w:t xml:space="preserve">4.1 Design</w:t>
      </w:r>
    </w:p>
    <w:p>
      <w:pPr>
        <w:pStyle w:val="FirstParagraph"/>
      </w:pPr>
      <w:r>
        <w:t xml:space="preserve">Each synthetic world is simulated on a 40 by 40 grid of fine cells with</w:t>
      </w:r>
      <w:r>
        <w:t xml:space="preserve"> </w:t>
      </w:r>
      <w:r>
        <w:t xml:space="preserve">60 months before an intervention and 12 after, and analyzed on</w:t>
      </w:r>
      <w:r>
        <w:t xml:space="preserve"> </w:t>
      </w:r>
      <w:r>
        <w:t xml:space="preserve">a 20 by 20 grid of coarse cells, each summing a 2 by 2</w:t>
      </w:r>
      <w:r>
        <w:t xml:space="preserve"> </w:t>
      </w:r>
      <w:r>
        <w:t xml:space="preserve">block of fine cells. A fine cell’s expected monthly count is</w:t>
      </w:r>
      <w:r>
        <w:t xml:space="preserve"> </w:t>
      </w:r>
      <m:oMath>
        <m:sSub>
          <m:e>
            <m:r>
              <m:t>λ</m:t>
            </m:r>
          </m:e>
          <m:sub>
            <m:r>
              <m:t>i</m:t>
            </m:r>
            <m:r>
              <m:t>t</m:t>
            </m:r>
          </m:sub>
        </m:sSub>
        <m:r>
          <m:rPr>
            <m:sty m:val="p"/>
          </m:rPr>
          <m:t>=</m:t>
        </m:r>
        <m:r>
          <m:rPr>
            <m:sty m:val="p"/>
          </m:rPr>
          <m:t>exp</m:t>
        </m:r>
        <m:d>
          <m:dPr>
            <m:begChr m:val="("/>
            <m:endChr m:val=")"/>
            <m:sepChr m:val=""/>
            <m:grow/>
          </m:dPr>
          <m:e>
            <m:r>
              <m:t>μ</m:t>
            </m:r>
            <m:r>
              <m:rPr>
                <m:sty m:val="p"/>
              </m:rPr>
              <m:t>+</m:t>
            </m:r>
            <m:sSub>
              <m:e>
                <m:r>
                  <m:t>a</m:t>
                </m:r>
              </m:e>
              <m:sub>
                <m:r>
                  <m:t>i</m:t>
                </m:r>
              </m:sub>
            </m:sSub>
            <m:r>
              <m:rPr>
                <m:sty m:val="p"/>
              </m:rPr>
              <m:t>+</m:t>
            </m:r>
            <m:sSub>
              <m:e>
                <m:r>
                  <m:t>b</m:t>
                </m:r>
              </m:e>
              <m:sub>
                <m:r>
                  <m:t>i</m:t>
                </m:r>
              </m:sub>
            </m:sSub>
            <m:r>
              <m:t>t</m:t>
            </m:r>
            <m:r>
              <m:rPr>
                <m:sty m:val="p"/>
              </m:rPr>
              <m:t>/</m:t>
            </m:r>
            <m:r>
              <m:t>12</m:t>
            </m:r>
            <m:r>
              <m:rPr>
                <m:sty m:val="p"/>
              </m:rPr>
              <m:t>+</m:t>
            </m:r>
            <m:sSub>
              <m:e>
                <m:r>
                  <m:t>c</m:t>
                </m:r>
              </m:e>
              <m:sub>
                <m:r>
                  <m:t>i</m:t>
                </m:r>
              </m:sub>
            </m:sSub>
            <m:r>
              <m:t>g</m:t>
            </m:r>
            <m:d>
              <m:dPr>
                <m:begChr m:val="("/>
                <m:endChr m:val=")"/>
                <m:sepChr m:val=""/>
                <m:grow/>
              </m:dPr>
              <m:e>
                <m:r>
                  <m:t>t</m:t>
                </m:r>
              </m:e>
            </m:d>
            <m:r>
              <m:rPr>
                <m:sty m:val="p"/>
              </m:rPr>
              <m:t>+</m:t>
            </m:r>
            <m:r>
              <m:t>s</m:t>
            </m:r>
            <m:d>
              <m:dPr>
                <m:begChr m:val="("/>
                <m:endChr m:val=")"/>
                <m:sepChr m:val=""/>
                <m:grow/>
              </m:dPr>
              <m:e>
                <m:r>
                  <m:t>t</m:t>
                </m:r>
              </m:e>
            </m:d>
          </m:e>
        </m:d>
      </m:oMath>
      <w:r>
        <w:t xml:space="preserve">, where</w:t>
      </w:r>
      <w:r>
        <w:t xml:space="preserve"> </w:t>
      </w:r>
      <m:oMath>
        <m:sSub>
          <m:e>
            <m:r>
              <m:t>a</m:t>
            </m:r>
          </m:e>
          <m:sub>
            <m:r>
              <m:t>i</m:t>
            </m:r>
          </m:sub>
        </m:sSub>
      </m:oMath>
      <w:r>
        <w:t xml:space="preserve"> </w:t>
      </w:r>
      <w:r>
        <w:t xml:space="preserve">is a spatially smooth level (a Gaussian random field plus cell-level noise),</w:t>
      </w:r>
      <w:r>
        <w:t xml:space="preserve"> </w:t>
      </w:r>
      <m:oMath>
        <m:sSub>
          <m:e>
            <m:r>
              <m:t>b</m:t>
            </m:r>
          </m:e>
          <m:sub>
            <m:r>
              <m:t>i</m:t>
            </m:r>
          </m:sub>
        </m:sSub>
      </m:oMath>
      <w:r>
        <w:t xml:space="preserve"> </w:t>
      </w:r>
      <w:r>
        <w:t xml:space="preserve">a spatially smooth yearly trend,</w:t>
      </w:r>
      <w:r>
        <w:t xml:space="preserve"> </w:t>
      </w:r>
      <m:oMath>
        <m:sSub>
          <m:e>
            <m:r>
              <m:t>c</m:t>
            </m:r>
          </m:e>
          <m:sub>
            <m:r>
              <m:t>i</m:t>
            </m:r>
          </m:sub>
        </m:sSub>
        <m:r>
          <m:t>g</m:t>
        </m:r>
        <m:d>
          <m:dPr>
            <m:begChr m:val="("/>
            <m:endChr m:val=")"/>
            <m:sepChr m:val=""/>
            <m:grow/>
          </m:dPr>
          <m:e>
            <m:r>
              <m:t>t</m:t>
            </m:r>
          </m:e>
        </m:d>
      </m:oMath>
      <w:r>
        <w:t xml:space="preserve"> </w:t>
      </w:r>
      <w:r>
        <w:t xml:space="preserve">a temporary rise or fall</w:t>
      </w:r>
      <w:r>
        <w:t xml:space="preserve"> </w:t>
      </w:r>
      <w:r>
        <w:t xml:space="preserve">peaking mid pre-period with a smooth field</w:t>
      </w:r>
      <w:r>
        <w:t xml:space="preserve"> </w:t>
      </w:r>
      <m:oMath>
        <m:sSub>
          <m:e>
            <m:r>
              <m:t>c</m:t>
            </m:r>
          </m:e>
          <m:sub>
            <m:r>
              <m:t>i</m:t>
            </m:r>
          </m:sub>
        </m:sSub>
      </m:oMath>
      <w:r>
        <w:t xml:space="preserve">, and</w:t>
      </w:r>
      <w:r>
        <w:t xml:space="preserve"> </w:t>
      </w:r>
      <m:oMath>
        <m:r>
          <m:t>s</m:t>
        </m:r>
        <m:d>
          <m:dPr>
            <m:begChr m:val="("/>
            <m:endChr m:val=")"/>
            <m:sepChr m:val=""/>
            <m:grow/>
          </m:dPr>
          <m:e>
            <m:r>
              <m:t>t</m:t>
            </m:r>
          </m:e>
        </m:d>
      </m:oMath>
      <w:r>
        <w:t xml:space="preserve"> </w:t>
      </w:r>
      <w:r>
        <w:t xml:space="preserve">a common</w:t>
      </w:r>
      <w:r>
        <w:t xml:space="preserve"> </w:t>
      </w:r>
      <w:r>
        <w:t xml:space="preserve">seasonal cycle. Counts are Poisson with gamma-distributed overdispersion.</w:t>
      </w:r>
      <w:r>
        <w:t xml:space="preserve"> </w:t>
      </w:r>
      <w:r>
        <w:t xml:space="preserve">The treated area is a 4 by 4 block of fine cells (2 by 2 coarse cells)</w:t>
      </w:r>
      <w:r>
        <w:t xml:space="preserve"> </w:t>
      </w:r>
      <w:r>
        <w:t xml:space="preserve">drawn among the hottest 10% of such blocks, as interventions target hot</w:t>
      </w:r>
      <w:r>
        <w:t xml:space="preserve"> </w:t>
      </w:r>
      <w:r>
        <w:t xml:space="preserve">spots, and the ring of coarse cells around it is excluded as a buffer. After the intervention its crime falls by 20%.</w:t>
      </w:r>
      <w:r>
        <w:t xml:space="preserve"> </w:t>
      </w:r>
      <w:r>
        <w:t xml:space="preserve">The WDD compares the last 12 pre-period months with the 12 post-period</w:t>
      </w:r>
      <w:r>
        <w:t xml:space="preserve"> </w:t>
      </w:r>
      <w:r>
        <w:t xml:space="preserve">months, and its target is the expected number of crimes prevented,</w:t>
      </w:r>
      <w:r>
        <w:t xml:space="preserve"> </w:t>
      </w:r>
      <m:oMath>
        <m:r>
          <m:rPr>
            <m:sty m:val="p"/>
          </m:rPr>
          <m:t>−</m:t>
        </m:r>
        <m:r>
          <m:t>0.2</m:t>
        </m:r>
      </m:oMath>
      <w:r>
        <w:t xml:space="preserve"> </w:t>
      </w:r>
      <w:r>
        <w:t xml:space="preserve">times the treated area’s expected post-period crime.</w:t>
      </w:r>
    </w:p>
    <w:p>
      <w:pPr>
        <w:pStyle w:val="BodyText"/>
      </w:pPr>
      <w:r>
        <w:t xml:space="preserve">Two scenarios differ in how local the trends are. In the</w:t>
      </w:r>
      <w:r>
        <w:t xml:space="preserve"> </w:t>
      </w:r>
      <w:r>
        <w:rPr>
          <w:iCs/>
          <w:i/>
        </w:rPr>
        <w:t xml:space="preserve">smooth</w:t>
      </w:r>
      <w:r>
        <w:t xml:space="preserve"> </w:t>
      </w:r>
      <w:r>
        <w:t xml:space="preserve">scenario</w:t>
      </w:r>
      <w:r>
        <w:t xml:space="preserve"> </w:t>
      </w:r>
      <w:r>
        <w:t xml:space="preserve">the trend field varies only over long distances (about three coarse cells),</w:t>
      </w:r>
      <w:r>
        <w:t xml:space="preserve"> </w:t>
      </w:r>
      <w:r>
        <w:t xml:space="preserve">so the treated hot spot’s neighbors share its trend. In the</w:t>
      </w:r>
      <w:r>
        <w:t xml:space="preserve"> </w:t>
      </w:r>
      <w:r>
        <w:rPr>
          <w:iCs/>
          <w:i/>
        </w:rPr>
        <w:t xml:space="preserve">local</w:t>
      </w:r>
      <w:r>
        <w:t xml:space="preserve"> </w:t>
      </w:r>
      <w:r>
        <w:t xml:space="preserve">scenario</w:t>
      </w:r>
      <w:r>
        <w:t xml:space="preserve"> </w:t>
      </w:r>
      <w:r>
        <w:t xml:space="preserve">the trend adds a short-range field (about one coarse cell), and the treated</w:t>
      </w:r>
      <w:r>
        <w:t xml:space="preserve"> </w:t>
      </w:r>
      <w:r>
        <w:t xml:space="preserve">hot spot is drawn from the quarter of hot spots whose short-range trend is</w:t>
      </w:r>
      <w:r>
        <w:t xml:space="preserve"> </w:t>
      </w:r>
      <w:r>
        <w:t xml:space="preserve">highest: crime there was rising relative to its surroundings, as it often</w:t>
      </w:r>
      <w:r>
        <w:t xml:space="preserve"> </w:t>
      </w:r>
      <w:r>
        <w:t xml:space="preserve">is where interventions are placed. I draw 50 worlds</w:t>
      </w:r>
      <w:r>
        <w:t xml:space="preserve"> </w:t>
      </w:r>
      <w:r>
        <w:t xml:space="preserve">in each scenario. To keep the simulations quick, every cell with crime is a</w:t>
      </w:r>
      <w:r>
        <w:t xml:space="preserve"> </w:t>
      </w:r>
      <w:r>
        <w:t xml:space="preserve">scan center, the integer program runs in the best 20 windows with a</w:t>
      </w:r>
      <w:r>
        <w:t xml:space="preserve"> </w:t>
      </w:r>
      <w:r>
        <w:t xml:space="preserve">one-second limit, and only the chosen area’s shape is refined; there is no</w:t>
      </w:r>
      <w:r>
        <w:t xml:space="preserve"> </w:t>
      </w:r>
      <w:r>
        <w:t xml:space="preserve">single-place cap, since no synthetic cell carries a store. The ring is the</w:t>
      </w:r>
      <w:r>
        <w:t xml:space="preserve"> </w:t>
      </w:r>
      <w:r>
        <w:t xml:space="preserve">band of coarse cells just outside the buffer.</w:t>
      </w:r>
    </w:p>
    <w:bookmarkEnd w:id="31"/>
    <w:bookmarkStart w:id="40" w:name="an-example"/>
    <w:p>
      <w:pPr>
        <w:pStyle w:val="Heading2"/>
      </w:pPr>
      <w:r>
        <w:t xml:space="preserve">4.2 An example</w:t>
      </w:r>
    </w:p>
    <w:p>
      <w:pPr>
        <w:pStyle w:val="FirstParagraph"/>
      </w:pPr>
      <w:hyperlink w:anchor="fig-sim-map">
        <w:r>
          <w:rPr>
            <w:rStyle w:val="Hyperlink"/>
          </w:rPr>
          <w:t xml:space="preserve">Figure 1</w:t>
        </w:r>
      </w:hyperlink>
      <w:r>
        <w:t xml:space="preserve"> </w:t>
      </w:r>
      <w:r>
        <w:t xml:space="preserve">shows one world from the local scenario and the control areas</w:t>
      </w:r>
      <w:r>
        <w:t xml:space="preserve"> </w:t>
      </w:r>
      <w:r>
        <w:t xml:space="preserve">each method chooses. The ring surrounds the buffer. The contiguous control is</w:t>
      </w:r>
      <w:r>
        <w:t xml:space="preserve"> </w:t>
      </w:r>
      <w:r>
        <w:t xml:space="preserve">a compact area of 7 cells</w:t>
      </w:r>
      <w:r>
        <w:t xml:space="preserve"> </w:t>
      </w:r>
      <w:r>
        <w:t xml:space="preserve">just outside the buffer, and the scan’s network circle is next to it. The</w:t>
      </w:r>
      <w:r>
        <w:t xml:space="preserve"> </w:t>
      </w:r>
      <w:r>
        <w:t xml:space="preserve">best-fitting area sprawls across 34</w:t>
      </w:r>
      <w:r>
        <w:t xml:space="preserve"> </w:t>
      </w:r>
      <w:r>
        <w:t xml:space="preserve">cells, and microsynth spreads its weight over</w:t>
      </w:r>
      <w:r>
        <w:t xml:space="preserve"> </w:t>
      </w:r>
      <w:r>
        <w:t xml:space="preserve">50 cells across the whole</w:t>
      </w:r>
      <w:r>
        <w:t xml:space="preserve"> </w:t>
      </w:r>
      <w:r>
        <w:t xml:space="preserve">grid.</w:t>
      </w:r>
      <w:r>
        <w:t xml:space="preserve"> </w:t>
      </w:r>
      <w:hyperlink w:anchor="fig-sim-series">
        <w:r>
          <w:rPr>
            <w:rStyle w:val="Hyperlink"/>
          </w:rPr>
          <w:t xml:space="preserve">Figure 2</w:t>
        </w:r>
      </w:hyperlink>
      <w:r>
        <w:t xml:space="preserve"> </w:t>
      </w:r>
      <w:r>
        <w:t xml:space="preserve">shows the monthly series. In this world the true</w:t>
      </w:r>
      <w:r>
        <w:t xml:space="preserve"> </w:t>
      </w:r>
      <w:r>
        <w:t xml:space="preserve">effect is -62 crimes; the</w:t>
      </w:r>
      <w:r>
        <w:t xml:space="preserve"> </w:t>
      </w:r>
      <w:r>
        <w:t xml:space="preserve">part of the WDD error due to non-parallel expected trends is</w:t>
      </w:r>
      <w:r>
        <w:t xml:space="preserve"> </w:t>
      </w:r>
      <w:r>
        <w:t xml:space="preserve">+13 for the</w:t>
      </w:r>
      <w:r>
        <w:t xml:space="preserve"> </w:t>
      </w:r>
      <w:r>
        <w:t xml:space="preserve">contiguous control and +31</w:t>
      </w:r>
      <w:r>
        <w:t xml:space="preserve"> </w:t>
      </w:r>
      <w:r>
        <w:t xml:space="preserve">for the ring.</w:t>
      </w:r>
    </w:p>
    <w:tbl>
      <w:tblPr>
        <w:tblStyle w:val="Table"/>
        <w:tblW w:type="pct" w:w="5000"/>
        <w:tblLook w:firstRow="0" w:lastRow="0" w:firstColumn="0" w:lastColumn="0" w:noHBand="0" w:noVBand="0" w:val="0000"/>
        <w:jc w:val="start"/>
        <w:tblLayout w:type="fixed"/>
      </w:tblPr>
      <w:tblGrid>
        <w:gridCol w:w="7920"/>
      </w:tblGrid>
      <w:tr>
        <w:tc>
          <w:tcPr/>
          <w:bookmarkStart w:id="35" w:name="fig-sim-map"/>
          <w:p>
            <w:pPr>
              <w:pStyle w:val="Compact"/>
              <w:jc w:val="center"/>
            </w:pPr>
            <w:r>
              <w:drawing>
                <wp:inline>
                  <wp:extent cx="5334000" cy="3801075"/>
                  <wp:effectExtent b="0" l="0" r="0" t="0"/>
                  <wp:docPr descr="" title="" id="33" name="Picture"/>
                  <a:graphic>
                    <a:graphicData uri="http://schemas.openxmlformats.org/drawingml/2006/picture">
                      <pic:pic>
                        <pic:nvPicPr>
                          <pic:cNvPr descr="paper_files/figure-docx/fig-sim-map-output-1.png" id="34" name="Picture"/>
                          <pic:cNvPicPr>
                            <a:picLocks noChangeArrowheads="1" noChangeAspect="1"/>
                          </pic:cNvPicPr>
                        </pic:nvPicPr>
                        <pic:blipFill>
                          <a:blip r:embed="rId32"/>
                          <a:stretch>
                            <a:fillRect/>
                          </a:stretch>
                        </pic:blipFill>
                        <pic:spPr bwMode="auto">
                          <a:xfrm>
                            <a:off x="0" y="0"/>
                            <a:ext cx="5334000" cy="380107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One synthetic world (local scenario), on its 20 by 20 grid of coarse cells. Gray shading is expected pre-period crime (darker is more); the solid square is the treated area and the dashed square the excluded buffer. Filled cells are each method’s control area; the last panel shades microsynth’s weights.</w:t>
            </w:r>
          </w:p>
          <w:bookmarkEnd w:id="35"/>
        </w:tc>
      </w:tr>
    </w:tbl>
    <w:tbl>
      <w:tblPr>
        <w:tblStyle w:val="Table"/>
        <w:tblW w:type="pct" w:w="5000"/>
        <w:tblLook w:firstRow="0" w:lastRow="0" w:firstColumn="0" w:lastColumn="0" w:noHBand="0" w:noVBand="0" w:val="0000"/>
        <w:jc w:val="start"/>
        <w:tblLayout w:type="fixed"/>
      </w:tblPr>
      <w:tblGrid>
        <w:gridCol w:w="7920"/>
      </w:tblGrid>
      <w:tr>
        <w:tc>
          <w:tcPr/>
          <w:bookmarkStart w:id="39" w:name="fig-sim-series"/>
          <w:p>
            <w:pPr>
              <w:pStyle w:val="Compact"/>
              <w:jc w:val="center"/>
            </w:pPr>
            <w:r>
              <w:drawing>
                <wp:inline>
                  <wp:extent cx="5334000" cy="2378675"/>
                  <wp:effectExtent b="0" l="0" r="0" t="0"/>
                  <wp:docPr descr="" title="" id="37" name="Picture"/>
                  <a:graphic>
                    <a:graphicData uri="http://schemas.openxmlformats.org/drawingml/2006/picture">
                      <pic:pic>
                        <pic:nvPicPr>
                          <pic:cNvPr descr="paper_files/figure-docx/fig-sim-series-output-1.png" id="38" name="Picture"/>
                          <pic:cNvPicPr>
                            <a:picLocks noChangeArrowheads="1" noChangeAspect="1"/>
                          </pic:cNvPicPr>
                        </pic:nvPicPr>
                        <pic:blipFill>
                          <a:blip r:embed="rId36"/>
                          <a:stretch>
                            <a:fillRect/>
                          </a:stretch>
                        </pic:blipFill>
                        <pic:spPr bwMode="auto">
                          <a:xfrm>
                            <a:off x="0" y="0"/>
                            <a:ext cx="5334000" cy="237867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Monthly crime in the example world’s treated area and in three controls, each scaled to the treated area’s pre-period volume. Thin lines are monthly counts, thick lines three-month moving averages computed separately before and after the intervention (dotted line). The treated area’s crime falls 20% after the intervention.</w:t>
            </w:r>
          </w:p>
          <w:bookmarkEnd w:id="39"/>
        </w:tc>
      </w:tr>
    </w:tbl>
    <w:bookmarkEnd w:id="40"/>
    <w:bookmarkStart w:id="42" w:name="monte-carlo-results"/>
    <w:p>
      <w:pPr>
        <w:pStyle w:val="Heading2"/>
      </w:pPr>
      <w:r>
        <w:t xml:space="preserve">4.3 Monte Carlo results</w:t>
      </w:r>
    </w:p>
    <w:tbl>
      <w:tblPr>
        <w:tblStyle w:val="Table"/>
        <w:tblW w:type="pct" w:w="5000"/>
        <w:tblLook w:firstRow="0" w:lastRow="0" w:firstColumn="0" w:lastColumn="0" w:noHBand="0" w:noVBand="0" w:val="0000"/>
        <w:jc w:val="start"/>
        <w:tblLayout w:type="fixed"/>
      </w:tblPr>
      <w:tblGrid>
        <w:gridCol w:w="7920"/>
      </w:tblGrid>
      <w:tr>
        <w:tc>
          <w:tcPr/>
          <w:bookmarkStart w:id="41" w:name="tbl-sim"/>
          <w:p>
            <w:pPr>
              <w:jc w:val="center"/>
            </w:pPr>
            <w:pPr>
              <w:jc w:val="start"/>
              <w:spacing w:before="200"/>
              <w:pStyle w:val="ImageCaption"/>
            </w:pPr>
            <w:r>
              <w:t xml:space="preserve">Table 1: Monte Carlo results for WDD estimates of crimes prevented, by scenario and control. Bias and RMSE are relative to the true effect; trend RMSE is the root mean square of the part of the error due to non-parallel expected trends (computed from the true rates). Mean SE is the WDD Poisson standard error, and coverage the share of 95% intervals containing the true effect, with the Poisson standard error / with it inflated by the square root of the estimated dispersion.</w:t>
            </w:r>
            <w:r>
              <w:t xml:space="preserve"> </w:t>
            </w:r>
            <w:r>
              <w:t xml:space="preserve">‘</w:t>
            </w:r>
            <w:r>
              <w:t xml:space="preserve">Passes</w:t>
            </w:r>
            <w:r>
              <w:t xml:space="preserve">’</w:t>
            </w:r>
            <w:r>
              <w:t xml:space="preserve"> </w:t>
            </w:r>
            <w:r>
              <w:t xml:space="preserve">is the share of worlds in which the control passes all four pre-period checks; cells is the control’s size (for microsynth, cells with weight above 0.001).</w:t>
            </w:r>
          </w:p>
          <w:tbl>
            <w:tblPr>
              <w:tblStyle w:val="Table"/>
              <w:tblW w:type="pct" w:w="5000"/>
              <w:tblLook w:firstRow="1" w:lastRow="0" w:firstColumn="0" w:lastColumn="0" w:noHBand="0" w:noVBand="0" w:val="0020"/>
              <w:jc w:val="start"/>
              <w:tblLayout w:type="fixed"/>
            </w:tblPr>
            <w:tblGrid>
              <w:gridCol w:w="950"/>
              <w:gridCol w:w="950"/>
              <w:gridCol w:w="633"/>
              <w:gridCol w:w="633"/>
              <w:gridCol w:w="1108"/>
              <w:gridCol w:w="871"/>
              <w:gridCol w:w="1267"/>
              <w:gridCol w:w="792"/>
              <w:gridCol w:w="712"/>
            </w:tblGrid>
            <w:tr>
              <w:trPr>
                <w:tblHeader w:val="true"/>
              </w:trPr>
              <w:tc>
                <w:tcPr/>
                <w:p>
                  <w:pPr>
                    <w:pStyle w:val="Compact"/>
                    <w:jc w:val="left"/>
                    <w:jc w:val="center"/>
                  </w:pPr>
                  <w:r>
                    <w:t xml:space="preserve">Scenario</w:t>
                  </w:r>
                </w:p>
              </w:tc>
              <w:tc>
                <w:tcPr/>
                <w:p>
                  <w:pPr>
                    <w:pStyle w:val="Compact"/>
                    <w:jc w:val="left"/>
                    <w:jc w:val="center"/>
                  </w:pPr>
                  <w:r>
                    <w:t xml:space="preserve">Control</w:t>
                  </w:r>
                </w:p>
              </w:tc>
              <w:tc>
                <w:tcPr/>
                <w:p>
                  <w:pPr>
                    <w:pStyle w:val="Compact"/>
                    <w:jc w:val="right"/>
                    <w:jc w:val="center"/>
                  </w:pPr>
                  <w:r>
                    <w:t xml:space="preserve">Bias</w:t>
                  </w:r>
                </w:p>
              </w:tc>
              <w:tc>
                <w:tcPr/>
                <w:p>
                  <w:pPr>
                    <w:pStyle w:val="Compact"/>
                    <w:jc w:val="right"/>
                    <w:jc w:val="center"/>
                  </w:pPr>
                  <w:r>
                    <w:t xml:space="preserve">RMSE</w:t>
                  </w:r>
                </w:p>
              </w:tc>
              <w:tc>
                <w:tcPr/>
                <w:p>
                  <w:pPr>
                    <w:pStyle w:val="Compact"/>
                    <w:jc w:val="right"/>
                    <w:jc w:val="center"/>
                  </w:pPr>
                  <w:r>
                    <w:t xml:space="preserve">Trend RMSE</w:t>
                  </w:r>
                </w:p>
              </w:tc>
              <w:tc>
                <w:tcPr/>
                <w:p>
                  <w:pPr>
                    <w:pStyle w:val="Compact"/>
                    <w:jc w:val="right"/>
                    <w:jc w:val="center"/>
                  </w:pPr>
                  <w:r>
                    <w:t xml:space="preserve">Mean SE</w:t>
                  </w:r>
                </w:p>
              </w:tc>
              <w:tc>
                <w:tcPr/>
                <w:p>
                  <w:pPr>
                    <w:pStyle w:val="Compact"/>
                    <w:jc w:val="right"/>
                    <w:jc w:val="center"/>
                  </w:pPr>
                  <w:r>
                    <w:t xml:space="preserve">Coverage (%)</w:t>
                  </w:r>
                </w:p>
              </w:tc>
              <w:tc>
                <w:tcPr/>
                <w:p>
                  <w:pPr>
                    <w:pStyle w:val="Compact"/>
                    <w:jc w:val="right"/>
                    <w:jc w:val="center"/>
                  </w:pPr>
                  <w:r>
                    <w:t xml:space="preserve">Passes</w:t>
                  </w:r>
                </w:p>
              </w:tc>
              <w:tc>
                <w:tcPr/>
                <w:p>
                  <w:pPr>
                    <w:pStyle w:val="Compact"/>
                    <w:jc w:val="right"/>
                    <w:jc w:val="center"/>
                  </w:pPr>
                  <w:r>
                    <w:t xml:space="preserve">Cells</w:t>
                  </w:r>
                </w:p>
              </w:tc>
            </w:tr>
            <w:tr>
              <w:tc>
                <w:tcPr/>
                <w:p>
                  <w:pPr>
                    <w:pStyle w:val="Compact"/>
                    <w:jc w:val="left"/>
                    <w:jc w:val="center"/>
                  </w:pPr>
                  <w:r>
                    <w:t xml:space="preserve">Smooth</w:t>
                  </w:r>
                </w:p>
              </w:tc>
              <w:tc>
                <w:tcPr/>
                <w:p>
                  <w:pPr>
                    <w:pStyle w:val="Compact"/>
                    <w:jc w:val="left"/>
                    <w:jc w:val="center"/>
                  </w:pPr>
                  <w:r>
                    <w:t xml:space="preserve">Contiguous</w:t>
                  </w:r>
                </w:p>
              </w:tc>
              <w:tc>
                <w:tcPr/>
                <w:p>
                  <w:pPr>
                    <w:pStyle w:val="Compact"/>
                    <w:jc w:val="right"/>
                    <w:jc w:val="center"/>
                  </w:pPr>
                  <w:r>
                    <w:t xml:space="preserve">+2</w:t>
                  </w:r>
                </w:p>
              </w:tc>
              <w:tc>
                <w:tcPr/>
                <w:p>
                  <w:pPr>
                    <w:pStyle w:val="Compact"/>
                    <w:jc w:val="right"/>
                    <w:jc w:val="center"/>
                  </w:pPr>
                  <w:r>
                    <w:t xml:space="preserve">58</w:t>
                  </w:r>
                </w:p>
              </w:tc>
              <w:tc>
                <w:tcPr/>
                <w:p>
                  <w:pPr>
                    <w:pStyle w:val="Compact"/>
                    <w:jc w:val="right"/>
                    <w:jc w:val="center"/>
                  </w:pPr>
                  <w:r>
                    <w:t xml:space="preserve">18</w:t>
                  </w:r>
                </w:p>
              </w:tc>
              <w:tc>
                <w:tcPr/>
                <w:p>
                  <w:pPr>
                    <w:pStyle w:val="Compact"/>
                    <w:jc w:val="right"/>
                    <w:jc w:val="center"/>
                  </w:pPr>
                  <w:r>
                    <w:t xml:space="preserve">39</w:t>
                  </w:r>
                </w:p>
              </w:tc>
              <w:tc>
                <w:tcPr/>
                <w:p>
                  <w:pPr>
                    <w:pStyle w:val="Compact"/>
                    <w:jc w:val="right"/>
                    <w:jc w:val="center"/>
                  </w:pPr>
                  <w:r>
                    <w:t xml:space="preserve">94 / 94</w:t>
                  </w:r>
                </w:p>
              </w:tc>
              <w:tc>
                <w:tcPr/>
                <w:p>
                  <w:pPr>
                    <w:pStyle w:val="Compact"/>
                    <w:jc w:val="right"/>
                    <w:jc w:val="center"/>
                  </w:pPr>
                  <w:r>
                    <w:t xml:space="preserve">100%</w:t>
                  </w:r>
                </w:p>
              </w:tc>
              <w:tc>
                <w:tcPr/>
                <w:p>
                  <w:pPr>
                    <w:pStyle w:val="Compact"/>
                    <w:jc w:val="right"/>
                    <w:jc w:val="center"/>
                  </w:pPr>
                  <w:r>
                    <w:t xml:space="preserve">8</w:t>
                  </w:r>
                </w:p>
              </w:tc>
            </w:tr>
            <w:tr>
              <w:tc>
                <w:tcPr/>
                <w:p>
                  <w:pPr>
                    <w:pStyle w:val="Compact"/>
                    <w:jc w:val="left"/>
                    <w:jc w:val="center"/>
                  </w:pPr>
                  <w:r>
                    <w:t xml:space="preserve">Smooth</w:t>
                  </w:r>
                </w:p>
              </w:tc>
              <w:tc>
                <w:tcPr/>
                <w:p>
                  <w:pPr>
                    <w:pStyle w:val="Compact"/>
                    <w:jc w:val="left"/>
                    <w:jc w:val="center"/>
                  </w:pPr>
                  <w:r>
                    <w:t xml:space="preserve">Scan</w:t>
                  </w:r>
                </w:p>
              </w:tc>
              <w:tc>
                <w:tcPr/>
                <w:p>
                  <w:pPr>
                    <w:pStyle w:val="Compact"/>
                    <w:jc w:val="right"/>
                    <w:jc w:val="center"/>
                  </w:pPr>
                  <w:r>
                    <w:t xml:space="preserve">-5</w:t>
                  </w:r>
                </w:p>
              </w:tc>
              <w:tc>
                <w:tcPr/>
                <w:p>
                  <w:pPr>
                    <w:pStyle w:val="Compact"/>
                    <w:jc w:val="right"/>
                    <w:jc w:val="center"/>
                  </w:pPr>
                  <w:r>
                    <w:t xml:space="preserve">65</w:t>
                  </w:r>
                </w:p>
              </w:tc>
              <w:tc>
                <w:tcPr/>
                <w:p>
                  <w:pPr>
                    <w:pStyle w:val="Compact"/>
                    <w:jc w:val="right"/>
                    <w:jc w:val="center"/>
                  </w:pPr>
                  <w:r>
                    <w:t xml:space="preserve">20</w:t>
                  </w:r>
                </w:p>
              </w:tc>
              <w:tc>
                <w:tcPr/>
                <w:p>
                  <w:pPr>
                    <w:pStyle w:val="Compact"/>
                    <w:jc w:val="right"/>
                    <w:jc w:val="center"/>
                  </w:pPr>
                  <w:r>
                    <w:t xml:space="preserve">39</w:t>
                  </w:r>
                </w:p>
              </w:tc>
              <w:tc>
                <w:tcPr/>
                <w:p>
                  <w:pPr>
                    <w:pStyle w:val="Compact"/>
                    <w:jc w:val="right"/>
                    <w:jc w:val="center"/>
                  </w:pPr>
                  <w:r>
                    <w:t xml:space="preserve">84 / 88</w:t>
                  </w:r>
                </w:p>
              </w:tc>
              <w:tc>
                <w:tcPr/>
                <w:p>
                  <w:pPr>
                    <w:pStyle w:val="Compact"/>
                    <w:jc w:val="right"/>
                    <w:jc w:val="center"/>
                  </w:pPr>
                  <w:r>
                    <w:t xml:space="preserve">94%</w:t>
                  </w:r>
                </w:p>
              </w:tc>
              <w:tc>
                <w:tcPr/>
                <w:p>
                  <w:pPr>
                    <w:pStyle w:val="Compact"/>
                    <w:jc w:val="right"/>
                    <w:jc w:val="center"/>
                  </w:pPr>
                  <w:r>
                    <w:t xml:space="preserve">14</w:t>
                  </w:r>
                </w:p>
              </w:tc>
            </w:tr>
            <w:tr>
              <w:tc>
                <w:tcPr/>
                <w:p>
                  <w:pPr>
                    <w:pStyle w:val="Compact"/>
                    <w:jc w:val="left"/>
                    <w:jc w:val="center"/>
                  </w:pPr>
                  <w:r>
                    <w:t xml:space="preserve">Smooth</w:t>
                  </w:r>
                </w:p>
              </w:tc>
              <w:tc>
                <w:tcPr/>
                <w:p>
                  <w:pPr>
                    <w:pStyle w:val="Compact"/>
                    <w:jc w:val="left"/>
                    <w:jc w:val="center"/>
                  </w:pPr>
                  <w:r>
                    <w:t xml:space="preserve">Best fit</w:t>
                  </w:r>
                </w:p>
              </w:tc>
              <w:tc>
                <w:tcPr/>
                <w:p>
                  <w:pPr>
                    <w:pStyle w:val="Compact"/>
                    <w:jc w:val="right"/>
                    <w:jc w:val="center"/>
                  </w:pPr>
                  <w:r>
                    <w:t xml:space="preserve">+1</w:t>
                  </w:r>
                </w:p>
              </w:tc>
              <w:tc>
                <w:tcPr/>
                <w:p>
                  <w:pPr>
                    <w:pStyle w:val="Compact"/>
                    <w:jc w:val="right"/>
                    <w:jc w:val="center"/>
                  </w:pPr>
                  <w:r>
                    <w:t xml:space="preserve">58</w:t>
                  </w:r>
                </w:p>
              </w:tc>
              <w:tc>
                <w:tcPr/>
                <w:p>
                  <w:pPr>
                    <w:pStyle w:val="Compact"/>
                    <w:jc w:val="right"/>
                    <w:jc w:val="center"/>
                  </w:pPr>
                  <w:r>
                    <w:t xml:space="preserve">17</w:t>
                  </w:r>
                </w:p>
              </w:tc>
              <w:tc>
                <w:tcPr/>
                <w:p>
                  <w:pPr>
                    <w:pStyle w:val="Compact"/>
                    <w:jc w:val="right"/>
                    <w:jc w:val="center"/>
                  </w:pPr>
                  <w:r>
                    <w:t xml:space="preserve">39</w:t>
                  </w:r>
                </w:p>
              </w:tc>
              <w:tc>
                <w:tcPr/>
                <w:p>
                  <w:pPr>
                    <w:pStyle w:val="Compact"/>
                    <w:jc w:val="right"/>
                    <w:jc w:val="center"/>
                  </w:pPr>
                  <w:r>
                    <w:t xml:space="preserve">88 / 88</w:t>
                  </w:r>
                </w:p>
              </w:tc>
              <w:tc>
                <w:tcPr/>
                <w:p>
                  <w:pPr>
                    <w:pStyle w:val="Compact"/>
                    <w:jc w:val="right"/>
                    <w:jc w:val="center"/>
                  </w:pPr>
                  <w:r>
                    <w:t xml:space="preserve">50%</w:t>
                  </w:r>
                </w:p>
              </w:tc>
              <w:tc>
                <w:tcPr/>
                <w:p>
                  <w:pPr>
                    <w:pStyle w:val="Compact"/>
                    <w:jc w:val="right"/>
                    <w:jc w:val="center"/>
                  </w:pPr>
                  <w:r>
                    <w:t xml:space="preserve">29</w:t>
                  </w:r>
                </w:p>
              </w:tc>
            </w:tr>
            <w:tr>
              <w:tc>
                <w:tcPr/>
                <w:p>
                  <w:pPr>
                    <w:pStyle w:val="Compact"/>
                    <w:jc w:val="left"/>
                    <w:jc w:val="center"/>
                  </w:pPr>
                  <w:r>
                    <w:t xml:space="preserve">Smooth</w:t>
                  </w:r>
                </w:p>
              </w:tc>
              <w:tc>
                <w:tcPr/>
                <w:p>
                  <w:pPr>
                    <w:pStyle w:val="Compact"/>
                    <w:jc w:val="left"/>
                    <w:jc w:val="center"/>
                  </w:pPr>
                  <w:r>
                    <w:t xml:space="preserve">Ring</w:t>
                  </w:r>
                </w:p>
              </w:tc>
              <w:tc>
                <w:tcPr/>
                <w:p>
                  <w:pPr>
                    <w:pStyle w:val="Compact"/>
                    <w:jc w:val="right"/>
                    <w:jc w:val="center"/>
                  </w:pPr>
                  <w:r>
                    <w:t xml:space="preserve">+7</w:t>
                  </w:r>
                </w:p>
              </w:tc>
              <w:tc>
                <w:tcPr/>
                <w:p>
                  <w:pPr>
                    <w:pStyle w:val="Compact"/>
                    <w:jc w:val="right"/>
                    <w:jc w:val="center"/>
                  </w:pPr>
                  <w:r>
                    <w:t xml:space="preserve">51</w:t>
                  </w:r>
                </w:p>
              </w:tc>
              <w:tc>
                <w:tcPr/>
                <w:p>
                  <w:pPr>
                    <w:pStyle w:val="Compact"/>
                    <w:jc w:val="right"/>
                    <w:jc w:val="center"/>
                  </w:pPr>
                  <w:r>
                    <w:t xml:space="preserve">17</w:t>
                  </w:r>
                </w:p>
              </w:tc>
              <w:tc>
                <w:tcPr/>
                <w:p>
                  <w:pPr>
                    <w:pStyle w:val="Compact"/>
                    <w:jc w:val="right"/>
                    <w:jc w:val="center"/>
                  </w:pPr>
                  <w:r>
                    <w:t xml:space="preserve">32</w:t>
                  </w:r>
                </w:p>
              </w:tc>
              <w:tc>
                <w:tcPr/>
                <w:p>
                  <w:pPr>
                    <w:pStyle w:val="Compact"/>
                    <w:jc w:val="right"/>
                    <w:jc w:val="center"/>
                  </w:pPr>
                  <w:r>
                    <w:t xml:space="preserve">92 / 94</w:t>
                  </w:r>
                </w:p>
              </w:tc>
              <w:tc>
                <w:tcPr/>
                <w:p>
                  <w:pPr>
                    <w:pStyle w:val="Compact"/>
                    <w:jc w:val="right"/>
                    <w:jc w:val="center"/>
                  </w:pPr>
                  <w:r>
                    <w:t xml:space="preserve">46%</w:t>
                  </w:r>
                </w:p>
              </w:tc>
              <w:tc>
                <w:tcPr/>
                <w:p>
                  <w:pPr>
                    <w:pStyle w:val="Compact"/>
                    <w:jc w:val="right"/>
                    <w:jc w:val="center"/>
                  </w:pPr>
                  <w:r>
                    <w:t xml:space="preserve">20</w:t>
                  </w:r>
                </w:p>
              </w:tc>
            </w:tr>
            <w:tr>
              <w:tc>
                <w:tcPr/>
                <w:p>
                  <w:pPr>
                    <w:pStyle w:val="Compact"/>
                    <w:jc w:val="left"/>
                    <w:jc w:val="center"/>
                  </w:pPr>
                  <w:r>
                    <w:t xml:space="preserve">Smooth</w:t>
                  </w:r>
                </w:p>
              </w:tc>
              <w:tc>
                <w:tcPr/>
                <w:p>
                  <w:pPr>
                    <w:pStyle w:val="Compact"/>
                    <w:jc w:val="left"/>
                    <w:jc w:val="center"/>
                  </w:pPr>
                  <w:r>
                    <w:t xml:space="preserve">City</w:t>
                  </w:r>
                </w:p>
              </w:tc>
              <w:tc>
                <w:tcPr/>
                <w:p>
                  <w:pPr>
                    <w:pStyle w:val="Compact"/>
                    <w:jc w:val="right"/>
                    <w:jc w:val="center"/>
                  </w:pPr>
                  <w:r>
                    <w:t xml:space="preserve">+19</w:t>
                  </w:r>
                </w:p>
              </w:tc>
              <w:tc>
                <w:tcPr/>
                <w:p>
                  <w:pPr>
                    <w:pStyle w:val="Compact"/>
                    <w:jc w:val="right"/>
                    <w:jc w:val="center"/>
                  </w:pPr>
                  <w:r>
                    <w:t xml:space="preserve">57</w:t>
                  </w:r>
                </w:p>
              </w:tc>
              <w:tc>
                <w:tcPr/>
                <w:p>
                  <w:pPr>
                    <w:pStyle w:val="Compact"/>
                    <w:jc w:val="right"/>
                    <w:jc w:val="center"/>
                  </w:pPr>
                  <w:r>
                    <w:t xml:space="preserve">38</w:t>
                  </w:r>
                </w:p>
              </w:tc>
              <w:tc>
                <w:tcPr/>
                <w:p>
                  <w:pPr>
                    <w:pStyle w:val="Compact"/>
                    <w:jc w:val="right"/>
                    <w:jc w:val="center"/>
                  </w:pPr>
                  <w:r>
                    <w:t xml:space="preserve">28</w:t>
                  </w:r>
                </w:p>
              </w:tc>
              <w:tc>
                <w:tcPr/>
                <w:p>
                  <w:pPr>
                    <w:pStyle w:val="Compact"/>
                    <w:jc w:val="right"/>
                    <w:jc w:val="center"/>
                  </w:pPr>
                  <w:r>
                    <w:t xml:space="preserve">80 / 88</w:t>
                  </w:r>
                </w:p>
              </w:tc>
              <w:tc>
                <w:tcPr/>
                <w:p>
                  <w:pPr>
                    <w:pStyle w:val="Compact"/>
                    <w:jc w:val="right"/>
                    <w:jc w:val="center"/>
                  </w:pPr>
                  <w:r>
                    <w:t xml:space="preserve">28%</w:t>
                  </w:r>
                </w:p>
              </w:tc>
              <w:tc>
                <w:tcPr/>
                <w:p>
                  <w:pPr>
                    <w:pStyle w:val="Compact"/>
                    <w:jc w:val="right"/>
                    <w:jc w:val="center"/>
                  </w:pPr>
                  <w:r>
                    <w:t xml:space="preserve">384</w:t>
                  </w:r>
                </w:p>
              </w:tc>
            </w:tr>
            <w:tr>
              <w:tc>
                <w:tcPr/>
                <w:p>
                  <w:pPr>
                    <w:pStyle w:val="Compact"/>
                    <w:jc w:val="left"/>
                    <w:jc w:val="center"/>
                  </w:pPr>
                  <w:r>
                    <w:t xml:space="preserve">Smooth</w:t>
                  </w:r>
                </w:p>
              </w:tc>
              <w:tc>
                <w:tcPr/>
                <w:p>
                  <w:pPr>
                    <w:pStyle w:val="Compact"/>
                    <w:jc w:val="left"/>
                    <w:jc w:val="center"/>
                  </w:pPr>
                  <w:r>
                    <w:t xml:space="preserve">Microsynth</w:t>
                  </w:r>
                </w:p>
              </w:tc>
              <w:tc>
                <w:tcPr/>
                <w:p>
                  <w:pPr>
                    <w:pStyle w:val="Compact"/>
                    <w:jc w:val="right"/>
                    <w:jc w:val="center"/>
                  </w:pPr>
                  <w:r>
                    <w:t xml:space="preserve">+12</w:t>
                  </w:r>
                </w:p>
              </w:tc>
              <w:tc>
                <w:tcPr/>
                <w:p>
                  <w:pPr>
                    <w:pStyle w:val="Compact"/>
                    <w:jc w:val="right"/>
                    <w:jc w:val="center"/>
                  </w:pPr>
                  <w:r>
                    <w:t xml:space="preserve">71</w:t>
                  </w:r>
                </w:p>
              </w:tc>
              <w:tc>
                <w:tcPr/>
                <w:p>
                  <w:pPr>
                    <w:pStyle w:val="Compact"/>
                    <w:jc w:val="right"/>
                    <w:jc w:val="center"/>
                  </w:pPr>
                  <w:r>
                    <w:t xml:space="preserve">26</w:t>
                  </w:r>
                </w:p>
              </w:tc>
              <w:tc>
                <w:tcPr/>
                <w:p>
                  <w:pPr>
                    <w:pStyle w:val="Compact"/>
                    <w:jc w:val="right"/>
                    <w:jc w:val="center"/>
                  </w:pPr>
                  <w:r>
                    <w:t xml:space="preserve">41</w:t>
                  </w:r>
                </w:p>
              </w:tc>
              <w:tc>
                <w:tcPr/>
                <w:p>
                  <w:pPr>
                    <w:pStyle w:val="Compact"/>
                    <w:jc w:val="right"/>
                    <w:jc w:val="center"/>
                  </w:pPr>
                  <w:r>
                    <w:t xml:space="preserve">76 / 94</w:t>
                  </w:r>
                </w:p>
              </w:tc>
              <w:tc>
                <w:tcPr/>
                <w:p>
                  <w:pPr>
                    <w:pStyle w:val="Compact"/>
                    <w:jc w:val="right"/>
                    <w:jc w:val="center"/>
                  </w:pPr>
                  <w:r>
                    <w:t xml:space="preserve">76%</w:t>
                  </w:r>
                </w:p>
              </w:tc>
              <w:tc>
                <w:tcPr/>
                <w:p>
                  <w:pPr>
                    <w:pStyle w:val="Compact"/>
                    <w:jc w:val="right"/>
                    <w:jc w:val="center"/>
                  </w:pPr>
                  <w:r>
                    <w:t xml:space="preserve">52</w:t>
                  </w:r>
                </w:p>
              </w:tc>
            </w:tr>
            <w:tr>
              <w:tc>
                <w:tcPr/>
                <w:p>
                  <w:pPr>
                    <w:pStyle w:val="Compact"/>
                    <w:jc w:val="left"/>
                    <w:jc w:val="center"/>
                  </w:pPr>
                  <w:r>
                    <w:t xml:space="preserve">Local</w:t>
                  </w:r>
                </w:p>
              </w:tc>
              <w:tc>
                <w:tcPr/>
                <w:p>
                  <w:pPr>
                    <w:pStyle w:val="Compact"/>
                    <w:jc w:val="left"/>
                    <w:jc w:val="center"/>
                  </w:pPr>
                  <w:r>
                    <w:t xml:space="preserve">Contiguous</w:t>
                  </w:r>
                </w:p>
              </w:tc>
              <w:tc>
                <w:tcPr/>
                <w:p>
                  <w:pPr>
                    <w:pStyle w:val="Compact"/>
                    <w:jc w:val="right"/>
                    <w:jc w:val="center"/>
                  </w:pPr>
                  <w:r>
                    <w:t xml:space="preserve">+40</w:t>
                  </w:r>
                </w:p>
              </w:tc>
              <w:tc>
                <w:tcPr/>
                <w:p>
                  <w:pPr>
                    <w:pStyle w:val="Compact"/>
                    <w:jc w:val="right"/>
                    <w:jc w:val="center"/>
                  </w:pPr>
                  <w:r>
                    <w:t xml:space="preserve">111</w:t>
                  </w:r>
                </w:p>
              </w:tc>
              <w:tc>
                <w:tcPr/>
                <w:p>
                  <w:pPr>
                    <w:pStyle w:val="Compact"/>
                    <w:jc w:val="right"/>
                    <w:jc w:val="center"/>
                  </w:pPr>
                  <w:r>
                    <w:t xml:space="preserve">83</w:t>
                  </w:r>
                </w:p>
              </w:tc>
              <w:tc>
                <w:tcPr/>
                <w:p>
                  <w:pPr>
                    <w:pStyle w:val="Compact"/>
                    <w:jc w:val="right"/>
                    <w:jc w:val="center"/>
                  </w:pPr>
                  <w:r>
                    <w:t xml:space="preserve">53</w:t>
                  </w:r>
                </w:p>
              </w:tc>
              <w:tc>
                <w:tcPr/>
                <w:p>
                  <w:pPr>
                    <w:pStyle w:val="Compact"/>
                    <w:jc w:val="right"/>
                    <w:jc w:val="center"/>
                  </w:pPr>
                  <w:r>
                    <w:t xml:space="preserve">72 / 86</w:t>
                  </w:r>
                </w:p>
              </w:tc>
              <w:tc>
                <w:tcPr/>
                <w:p>
                  <w:pPr>
                    <w:pStyle w:val="Compact"/>
                    <w:jc w:val="right"/>
                    <w:jc w:val="center"/>
                  </w:pPr>
                  <w:r>
                    <w:t xml:space="preserve">78%</w:t>
                  </w:r>
                </w:p>
              </w:tc>
              <w:tc>
                <w:tcPr/>
                <w:p>
                  <w:pPr>
                    <w:pStyle w:val="Compact"/>
                    <w:jc w:val="right"/>
                    <w:jc w:val="center"/>
                  </w:pPr>
                  <w:r>
                    <w:t xml:space="preserve">13</w:t>
                  </w:r>
                </w:p>
              </w:tc>
            </w:tr>
            <w:tr>
              <w:tc>
                <w:tcPr/>
                <w:p>
                  <w:pPr>
                    <w:pStyle w:val="Compact"/>
                    <w:jc w:val="left"/>
                    <w:jc w:val="center"/>
                  </w:pPr>
                  <w:r>
                    <w:t xml:space="preserve">Local</w:t>
                  </w:r>
                </w:p>
              </w:tc>
              <w:tc>
                <w:tcPr/>
                <w:p>
                  <w:pPr>
                    <w:pStyle w:val="Compact"/>
                    <w:jc w:val="left"/>
                    <w:jc w:val="center"/>
                  </w:pPr>
                  <w:r>
                    <w:t xml:space="preserve">Scan</w:t>
                  </w:r>
                </w:p>
              </w:tc>
              <w:tc>
                <w:tcPr/>
                <w:p>
                  <w:pPr>
                    <w:pStyle w:val="Compact"/>
                    <w:jc w:val="right"/>
                    <w:jc w:val="center"/>
                  </w:pPr>
                  <w:r>
                    <w:t xml:space="preserve">+38</w:t>
                  </w:r>
                </w:p>
              </w:tc>
              <w:tc>
                <w:tcPr/>
                <w:p>
                  <w:pPr>
                    <w:pStyle w:val="Compact"/>
                    <w:jc w:val="right"/>
                    <w:jc w:val="center"/>
                  </w:pPr>
                  <w:r>
                    <w:t xml:space="preserve">103</w:t>
                  </w:r>
                </w:p>
              </w:tc>
              <w:tc>
                <w:tcPr/>
                <w:p>
                  <w:pPr>
                    <w:pStyle w:val="Compact"/>
                    <w:jc w:val="right"/>
                    <w:jc w:val="center"/>
                  </w:pPr>
                  <w:r>
                    <w:t xml:space="preserve">94</w:t>
                  </w:r>
                </w:p>
              </w:tc>
              <w:tc>
                <w:tcPr/>
                <w:p>
                  <w:pPr>
                    <w:pStyle w:val="Compact"/>
                    <w:jc w:val="right"/>
                    <w:jc w:val="center"/>
                  </w:pPr>
                  <w:r>
                    <w:t xml:space="preserve">53</w:t>
                  </w:r>
                </w:p>
              </w:tc>
              <w:tc>
                <w:tcPr/>
                <w:p>
                  <w:pPr>
                    <w:pStyle w:val="Compact"/>
                    <w:jc w:val="right"/>
                    <w:jc w:val="center"/>
                  </w:pPr>
                  <w:r>
                    <w:t xml:space="preserve">80 / 88</w:t>
                  </w:r>
                </w:p>
              </w:tc>
              <w:tc>
                <w:tcPr/>
                <w:p>
                  <w:pPr>
                    <w:pStyle w:val="Compact"/>
                    <w:jc w:val="right"/>
                    <w:jc w:val="center"/>
                  </w:pPr>
                  <w:r>
                    <w:t xml:space="preserve">58%</w:t>
                  </w:r>
                </w:p>
              </w:tc>
              <w:tc>
                <w:tcPr/>
                <w:p>
                  <w:pPr>
                    <w:pStyle w:val="Compact"/>
                    <w:jc w:val="right"/>
                    <w:jc w:val="center"/>
                  </w:pPr>
                  <w:r>
                    <w:t xml:space="preserve">14</w:t>
                  </w:r>
                </w:p>
              </w:tc>
            </w:tr>
            <w:tr>
              <w:tc>
                <w:tcPr/>
                <w:p>
                  <w:pPr>
                    <w:pStyle w:val="Compact"/>
                    <w:jc w:val="left"/>
                    <w:jc w:val="center"/>
                  </w:pPr>
                  <w:r>
                    <w:t xml:space="preserve">Local</w:t>
                  </w:r>
                </w:p>
              </w:tc>
              <w:tc>
                <w:tcPr/>
                <w:p>
                  <w:pPr>
                    <w:pStyle w:val="Compact"/>
                    <w:jc w:val="left"/>
                    <w:jc w:val="center"/>
                  </w:pPr>
                  <w:r>
                    <w:t xml:space="preserve">Best fit</w:t>
                  </w:r>
                </w:p>
              </w:tc>
              <w:tc>
                <w:tcPr/>
                <w:p>
                  <w:pPr>
                    <w:pStyle w:val="Compact"/>
                    <w:jc w:val="right"/>
                    <w:jc w:val="center"/>
                  </w:pPr>
                  <w:r>
                    <w:t xml:space="preserve">+67</w:t>
                  </w:r>
                </w:p>
              </w:tc>
              <w:tc>
                <w:tcPr/>
                <w:p>
                  <w:pPr>
                    <w:pStyle w:val="Compact"/>
                    <w:jc w:val="right"/>
                    <w:jc w:val="center"/>
                  </w:pPr>
                  <w:r>
                    <w:t xml:space="preserve">145</w:t>
                  </w:r>
                </w:p>
              </w:tc>
              <w:tc>
                <w:tcPr/>
                <w:p>
                  <w:pPr>
                    <w:pStyle w:val="Compact"/>
                    <w:jc w:val="right"/>
                    <w:jc w:val="center"/>
                  </w:pPr>
                  <w:r>
                    <w:t xml:space="preserve">109</w:t>
                  </w:r>
                </w:p>
              </w:tc>
              <w:tc>
                <w:tcPr/>
                <w:p>
                  <w:pPr>
                    <w:pStyle w:val="Compact"/>
                    <w:jc w:val="right"/>
                    <w:jc w:val="center"/>
                  </w:pPr>
                  <w:r>
                    <w:t xml:space="preserve">53</w:t>
                  </w:r>
                </w:p>
              </w:tc>
              <w:tc>
                <w:tcPr/>
                <w:p>
                  <w:pPr>
                    <w:pStyle w:val="Compact"/>
                    <w:jc w:val="right"/>
                    <w:jc w:val="center"/>
                  </w:pPr>
                  <w:r>
                    <w:t xml:space="preserve">68 / 78</w:t>
                  </w:r>
                </w:p>
              </w:tc>
              <w:tc>
                <w:tcPr/>
                <w:p>
                  <w:pPr>
                    <w:pStyle w:val="Compact"/>
                    <w:jc w:val="right"/>
                    <w:jc w:val="center"/>
                  </w:pPr>
                  <w:r>
                    <w:t xml:space="preserve">36%</w:t>
                  </w:r>
                </w:p>
              </w:tc>
              <w:tc>
                <w:tcPr/>
                <w:p>
                  <w:pPr>
                    <w:pStyle w:val="Compact"/>
                    <w:jc w:val="right"/>
                    <w:jc w:val="center"/>
                  </w:pPr>
                  <w:r>
                    <w:t xml:space="preserve">26</w:t>
                  </w:r>
                </w:p>
              </w:tc>
            </w:tr>
            <w:tr>
              <w:tc>
                <w:tcPr/>
                <w:p>
                  <w:pPr>
                    <w:pStyle w:val="Compact"/>
                    <w:jc w:val="left"/>
                    <w:jc w:val="center"/>
                  </w:pPr>
                  <w:r>
                    <w:t xml:space="preserve">Local</w:t>
                  </w:r>
                </w:p>
              </w:tc>
              <w:tc>
                <w:tcPr/>
                <w:p>
                  <w:pPr>
                    <w:pStyle w:val="Compact"/>
                    <w:jc w:val="left"/>
                    <w:jc w:val="center"/>
                  </w:pPr>
                  <w:r>
                    <w:t xml:space="preserve">Ring</w:t>
                  </w:r>
                </w:p>
              </w:tc>
              <w:tc>
                <w:tcPr/>
                <w:p>
                  <w:pPr>
                    <w:pStyle w:val="Compact"/>
                    <w:jc w:val="right"/>
                    <w:jc w:val="center"/>
                  </w:pPr>
                  <w:r>
                    <w:t xml:space="preserve">+134</w:t>
                  </w:r>
                </w:p>
              </w:tc>
              <w:tc>
                <w:tcPr/>
                <w:p>
                  <w:pPr>
                    <w:pStyle w:val="Compact"/>
                    <w:jc w:val="right"/>
                    <w:jc w:val="center"/>
                  </w:pPr>
                  <w:r>
                    <w:t xml:space="preserve">218</w:t>
                  </w:r>
                </w:p>
              </w:tc>
              <w:tc>
                <w:tcPr/>
                <w:p>
                  <w:pPr>
                    <w:pStyle w:val="Compact"/>
                    <w:jc w:val="right"/>
                    <w:jc w:val="center"/>
                  </w:pPr>
                  <w:r>
                    <w:t xml:space="preserve">203</w:t>
                  </w:r>
                </w:p>
              </w:tc>
              <w:tc>
                <w:tcPr/>
                <w:p>
                  <w:pPr>
                    <w:pStyle w:val="Compact"/>
                    <w:jc w:val="right"/>
                    <w:jc w:val="center"/>
                  </w:pPr>
                  <w:r>
                    <w:t xml:space="preserve">44</w:t>
                  </w:r>
                </w:p>
              </w:tc>
              <w:tc>
                <w:tcPr/>
                <w:p>
                  <w:pPr>
                    <w:pStyle w:val="Compact"/>
                    <w:jc w:val="right"/>
                    <w:jc w:val="center"/>
                  </w:pPr>
                  <w:r>
                    <w:t xml:space="preserve">52 / 54</w:t>
                  </w:r>
                </w:p>
              </w:tc>
              <w:tc>
                <w:tcPr/>
                <w:p>
                  <w:pPr>
                    <w:pStyle w:val="Compact"/>
                    <w:jc w:val="right"/>
                    <w:jc w:val="center"/>
                  </w:pPr>
                  <w:r>
                    <w:t xml:space="preserve">4%</w:t>
                  </w:r>
                </w:p>
              </w:tc>
              <w:tc>
                <w:tcPr/>
                <w:p>
                  <w:pPr>
                    <w:pStyle w:val="Compact"/>
                    <w:jc w:val="right"/>
                    <w:jc w:val="center"/>
                  </w:pPr>
                  <w:r>
                    <w:t xml:space="preserve">20</w:t>
                  </w:r>
                </w:p>
              </w:tc>
            </w:tr>
            <w:tr>
              <w:tc>
                <w:tcPr/>
                <w:p>
                  <w:pPr>
                    <w:pStyle w:val="Compact"/>
                    <w:jc w:val="left"/>
                    <w:jc w:val="center"/>
                  </w:pPr>
                  <w:r>
                    <w:t xml:space="preserve">Local</w:t>
                  </w:r>
                </w:p>
              </w:tc>
              <w:tc>
                <w:tcPr/>
                <w:p>
                  <w:pPr>
                    <w:pStyle w:val="Compact"/>
                    <w:jc w:val="left"/>
                    <w:jc w:val="center"/>
                  </w:pPr>
                  <w:r>
                    <w:t xml:space="preserve">City</w:t>
                  </w:r>
                </w:p>
              </w:tc>
              <w:tc>
                <w:tcPr/>
                <w:p>
                  <w:pPr>
                    <w:pStyle w:val="Compact"/>
                    <w:jc w:val="right"/>
                    <w:jc w:val="center"/>
                  </w:pPr>
                  <w:r>
                    <w:t xml:space="preserve">+144</w:t>
                  </w:r>
                </w:p>
              </w:tc>
              <w:tc>
                <w:tcPr/>
                <w:p>
                  <w:pPr>
                    <w:pStyle w:val="Compact"/>
                    <w:jc w:val="right"/>
                    <w:jc w:val="center"/>
                  </w:pPr>
                  <w:r>
                    <w:t xml:space="preserve">241</w:t>
                  </w:r>
                </w:p>
              </w:tc>
              <w:tc>
                <w:tcPr/>
                <w:p>
                  <w:pPr>
                    <w:pStyle w:val="Compact"/>
                    <w:jc w:val="right"/>
                    <w:jc w:val="center"/>
                  </w:pPr>
                  <w:r>
                    <w:t xml:space="preserve">228</w:t>
                  </w:r>
                </w:p>
              </w:tc>
              <w:tc>
                <w:tcPr/>
                <w:p>
                  <w:pPr>
                    <w:pStyle w:val="Compact"/>
                    <w:jc w:val="right"/>
                    <w:jc w:val="center"/>
                  </w:pPr>
                  <w:r>
                    <w:t xml:space="preserve">38</w:t>
                  </w:r>
                </w:p>
              </w:tc>
              <w:tc>
                <w:tcPr/>
                <w:p>
                  <w:pPr>
                    <w:pStyle w:val="Compact"/>
                    <w:jc w:val="right"/>
                    <w:jc w:val="center"/>
                  </w:pPr>
                  <w:r>
                    <w:t xml:space="preserve">36 / 44</w:t>
                  </w:r>
                </w:p>
              </w:tc>
              <w:tc>
                <w:tcPr/>
                <w:p>
                  <w:pPr>
                    <w:pStyle w:val="Compact"/>
                    <w:jc w:val="right"/>
                    <w:jc w:val="center"/>
                  </w:pPr>
                  <w:r>
                    <w:t xml:space="preserve">6%</w:t>
                  </w:r>
                </w:p>
              </w:tc>
              <w:tc>
                <w:tcPr/>
                <w:p>
                  <w:pPr>
                    <w:pStyle w:val="Compact"/>
                    <w:jc w:val="right"/>
                    <w:jc w:val="center"/>
                  </w:pPr>
                  <w:r>
                    <w:t xml:space="preserve">384</w:t>
                  </w:r>
                </w:p>
              </w:tc>
            </w:tr>
            <w:tr>
              <w:tc>
                <w:tcPr/>
                <w:p>
                  <w:pPr>
                    <w:pStyle w:val="Compact"/>
                    <w:jc w:val="left"/>
                    <w:jc w:val="center"/>
                  </w:pPr>
                  <w:r>
                    <w:t xml:space="preserve">Local</w:t>
                  </w:r>
                </w:p>
              </w:tc>
              <w:tc>
                <w:tcPr/>
                <w:p>
                  <w:pPr>
                    <w:pStyle w:val="Compact"/>
                    <w:jc w:val="left"/>
                    <w:jc w:val="center"/>
                  </w:pPr>
                  <w:r>
                    <w:t xml:space="preserve">Microsynth</w:t>
                  </w:r>
                </w:p>
              </w:tc>
              <w:tc>
                <w:tcPr/>
                <w:p>
                  <w:pPr>
                    <w:pStyle w:val="Compact"/>
                    <w:jc w:val="right"/>
                    <w:jc w:val="center"/>
                  </w:pPr>
                  <w:r>
                    <w:t xml:space="preserve">+91</w:t>
                  </w:r>
                </w:p>
              </w:tc>
              <w:tc>
                <w:tcPr/>
                <w:p>
                  <w:pPr>
                    <w:pStyle w:val="Compact"/>
                    <w:jc w:val="right"/>
                    <w:jc w:val="center"/>
                  </w:pPr>
                  <w:r>
                    <w:t xml:space="preserve">160</w:t>
                  </w:r>
                </w:p>
              </w:tc>
              <w:tc>
                <w:tcPr/>
                <w:p>
                  <w:pPr>
                    <w:pStyle w:val="Compact"/>
                    <w:jc w:val="right"/>
                    <w:jc w:val="center"/>
                  </w:pPr>
                  <w:r>
                    <w:t xml:space="preserve">115</w:t>
                  </w:r>
                </w:p>
              </w:tc>
              <w:tc>
                <w:tcPr/>
                <w:p>
                  <w:pPr>
                    <w:pStyle w:val="Compact"/>
                    <w:jc w:val="right"/>
                    <w:jc w:val="center"/>
                  </w:pPr>
                  <w:r>
                    <w:t xml:space="preserve">58</w:t>
                  </w:r>
                </w:p>
              </w:tc>
              <w:tc>
                <w:tcPr/>
                <w:p>
                  <w:pPr>
                    <w:pStyle w:val="Compact"/>
                    <w:jc w:val="right"/>
                    <w:jc w:val="center"/>
                  </w:pPr>
                  <w:r>
                    <w:t xml:space="preserve">72 / 78</w:t>
                  </w:r>
                </w:p>
              </w:tc>
              <w:tc>
                <w:tcPr/>
                <w:p>
                  <w:pPr>
                    <w:pStyle w:val="Compact"/>
                    <w:jc w:val="right"/>
                    <w:jc w:val="center"/>
                  </w:pPr>
                  <w:r>
                    <w:t xml:space="preserve">56%</w:t>
                  </w:r>
                </w:p>
              </w:tc>
              <w:tc>
                <w:tcPr/>
                <w:p>
                  <w:pPr>
                    <w:pStyle w:val="Compact"/>
                    <w:jc w:val="right"/>
                    <w:jc w:val="center"/>
                  </w:pPr>
                  <w:r>
                    <w:t xml:space="preserve">43</w:t>
                  </w:r>
                </w:p>
              </w:tc>
            </w:tr>
          </w:tbl>
          <w:bookmarkEnd w:id="41"/>
          <w:p/>
        </w:tc>
      </w:tr>
    </w:tbl>
    <w:p>
      <w:pPr>
        <w:pStyle w:val="BodyText"/>
      </w:pPr>
      <w:hyperlink w:anchor="tbl-sim">
        <w:r>
          <w:rPr>
            <w:rStyle w:val="Hyperlink"/>
          </w:rPr>
          <w:t xml:space="preserve">Table 1</w:t>
        </w:r>
      </w:hyperlink>
      <w:r>
        <w:t xml:space="preserve"> </w:t>
      </w:r>
      <w:r>
        <w:t xml:space="preserve">summarizes the 50 worlds in each</w:t>
      </w:r>
      <w:r>
        <w:t xml:space="preserve"> </w:t>
      </w:r>
      <w:r>
        <w:t xml:space="preserve">scenario. The true effect averages -92</w:t>
      </w:r>
      <w:r>
        <w:t xml:space="preserve"> </w:t>
      </w:r>
      <w:r>
        <w:t xml:space="preserve">crimes in the smooth scenario and -195</w:t>
      </w:r>
      <w:r>
        <w:t xml:space="preserve"> </w:t>
      </w:r>
      <w:r>
        <w:t xml:space="preserve">in the local one, where the rising hot spots have more crime.</w:t>
      </w:r>
    </w:p>
    <w:p>
      <w:pPr>
        <w:pStyle w:val="BodyText"/>
      </w:pPr>
      <w:r>
        <w:t xml:space="preserve">In the smooth scenario every local control shares the treated area’s trend,</w:t>
      </w:r>
      <w:r>
        <w:t xml:space="preserve"> </w:t>
      </w:r>
      <w:r>
        <w:t xml:space="preserve">and the trend errors of the ring, the scan, the best fit, and the contiguous</w:t>
      </w:r>
      <w:r>
        <w:t xml:space="preserve"> </w:t>
      </w:r>
      <w:r>
        <w:t xml:space="preserve">control are all small (trend RMSE</w:t>
      </w:r>
      <w:r>
        <w:t xml:space="preserve"> </w:t>
      </w:r>
      <w:r>
        <w:t xml:space="preserve">17</w:t>
      </w:r>
      <w:r>
        <w:t xml:space="preserve"> </w:t>
      </w:r>
      <w:r>
        <w:t xml:space="preserve">to</w:t>
      </w:r>
      <w:r>
        <w:t xml:space="preserve"> </w:t>
      </w:r>
      <w:r>
        <w:t xml:space="preserve">20). The contiguous</w:t>
      </w:r>
      <w:r>
        <w:t xml:space="preserve"> </w:t>
      </w:r>
      <w:r>
        <w:t xml:space="preserve">control is essentially unbiased</w:t>
      </w:r>
      <w:r>
        <w:t xml:space="preserve"> </w:t>
      </w:r>
      <w:r>
        <w:t xml:space="preserve">(+2). The ring has the</w:t>
      </w:r>
      <w:r>
        <w:t xml:space="preserve"> </w:t>
      </w:r>
      <w:r>
        <w:t xml:space="preserve">smallest overall error (RMSE 51</w:t>
      </w:r>
      <w:r>
        <w:t xml:space="preserve"> </w:t>
      </w:r>
      <w:r>
        <w:t xml:space="preserve">against 58 for the</w:t>
      </w:r>
      <w:r>
        <w:t xml:space="preserve"> </w:t>
      </w:r>
      <w:r>
        <w:t xml:space="preserve">contiguous control), because it holds several times the treated area’s crime</w:t>
      </w:r>
      <w:r>
        <w:t xml:space="preserve"> </w:t>
      </w:r>
      <w:r>
        <w:t xml:space="preserve">and scaling it down shrinks its noise. The city-wide trend misses local</w:t>
      </w:r>
      <w:r>
        <w:t xml:space="preserve"> </w:t>
      </w:r>
      <w:r>
        <w:t xml:space="preserve">trends, and microsynth is the least accurate control</w:t>
      </w:r>
      <w:r>
        <w:t xml:space="preserve"> </w:t>
      </w:r>
      <w:r>
        <w:t xml:space="preserve">(RMSE 71) even though it</w:t>
      </w:r>
      <w:r>
        <w:t xml:space="preserve"> </w:t>
      </w:r>
      <w:r>
        <w:t xml:space="preserve">matches the pre-period months exactly whenever that is feasible.</w:t>
      </w:r>
    </w:p>
    <w:p>
      <w:pPr>
        <w:pStyle w:val="BodyText"/>
      </w:pPr>
      <w:r>
        <w:t xml:space="preserve">The local scenario is the one matching is for. The treated hot spot’s crime</w:t>
      </w:r>
      <w:r>
        <w:t xml:space="preserve"> </w:t>
      </w:r>
      <w:r>
        <w:t xml:space="preserve">was rising relative to its surroundings, so the ring and the city-wide trend</w:t>
      </w:r>
      <w:r>
        <w:t xml:space="preserve"> </w:t>
      </w:r>
      <w:r>
        <w:t xml:space="preserve">are badly biased: +134 and</w:t>
      </w:r>
      <w:r>
        <w:t xml:space="preserve"> </w:t>
      </w:r>
      <w:r>
        <w:t xml:space="preserve">+144 crimes, against a true effect</w:t>
      </w:r>
      <w:r>
        <w:t xml:space="preserve"> </w:t>
      </w:r>
      <w:r>
        <w:t xml:space="preserve">of -195, so on average they miss</w:t>
      </w:r>
      <w:r>
        <w:t xml:space="preserve"> </w:t>
      </w:r>
      <w:r>
        <w:t xml:space="preserve">69% and</w:t>
      </w:r>
      <w:r>
        <w:t xml:space="preserve"> </w:t>
      </w:r>
      <w:r>
        <w:t xml:space="preserve">74% of</w:t>
      </w:r>
      <w:r>
        <w:t xml:space="preserve"> </w:t>
      </w:r>
      <w:r>
        <w:t xml:space="preserve">the reduction. The contiguous control cuts the bias to</w:t>
      </w:r>
      <w:r>
        <w:t xml:space="preserve"> </w:t>
      </w:r>
      <w:r>
        <w:t xml:space="preserve">+40 and has the smallest trend</w:t>
      </w:r>
      <w:r>
        <w:t xml:space="preserve"> </w:t>
      </w:r>
      <w:r>
        <w:t xml:space="preserve">error (RMSE 83, against</w:t>
      </w:r>
      <w:r>
        <w:t xml:space="preserve"> </w:t>
      </w:r>
      <w:r>
        <w:t xml:space="preserve">203 for the ring). It does not</w:t>
      </w:r>
      <w:r>
        <w:t xml:space="preserve"> </w:t>
      </w:r>
      <w:r>
        <w:t xml:space="preserve">remove the bias: a contiguous area has to include whatever lies between the</w:t>
      </w:r>
      <w:r>
        <w:t xml:space="preserve"> </w:t>
      </w:r>
      <w:r>
        <w:t xml:space="preserve">places whose trends match, and with noisy series an area can pass the checks</w:t>
      </w:r>
      <w:r>
        <w:t xml:space="preserve"> </w:t>
      </w:r>
      <w:r>
        <w:t xml:space="preserve">while its trend still differs. The best-fitting area, which chases noise, is</w:t>
      </w:r>
      <w:r>
        <w:t xml:space="preserve"> </w:t>
      </w:r>
      <w:r>
        <w:t xml:space="preserve">more biased (+67), and so is</w:t>
      </w:r>
      <w:r>
        <w:t xml:space="preserve"> </w:t>
      </w:r>
      <w:r>
        <w:t xml:space="preserve">microsynth (+91).</w:t>
      </w:r>
    </w:p>
    <w:p>
      <w:pPr>
        <w:pStyle w:val="BodyText"/>
      </w:pPr>
      <w:r>
        <w:t xml:space="preserve">Two other results matter for practice. First, the pure scan does about as</w:t>
      </w:r>
      <w:r>
        <w:t xml:space="preserve"> </w:t>
      </w:r>
      <w:r>
        <w:t xml:space="preserve">well as the integer program (RMSE 103</w:t>
      </w:r>
      <w:r>
        <w:t xml:space="preserve"> </w:t>
      </w:r>
      <w:r>
        <w:t xml:space="preserve">and 65 against</w:t>
      </w:r>
      <w:r>
        <w:t xml:space="preserve"> </w:t>
      </w:r>
      <w:r>
        <w:t xml:space="preserve">111 and</w:t>
      </w:r>
      <w:r>
        <w:t xml:space="preserve"> </w:t>
      </w:r>
      <w:r>
        <w:t xml:space="preserve">58): most of the gain comes</w:t>
      </w:r>
      <w:r>
        <w:t xml:space="preserve"> </w:t>
      </w:r>
      <w:r>
        <w:t xml:space="preserve">from requiring the pre-period match and taking the nearest area that meets</w:t>
      </w:r>
      <w:r>
        <w:t xml:space="preserve"> </w:t>
      </w:r>
      <w:r>
        <w:t xml:space="preserve">it, while the integer program finds a passing area more often</w:t>
      </w:r>
      <w:r>
        <w:t xml:space="preserve"> </w:t>
      </w:r>
      <w:r>
        <w:t xml:space="preserve">(78% of local worlds against</w:t>
      </w:r>
      <w:r>
        <w:t xml:space="preserve"> </w:t>
      </w:r>
      <w:r>
        <w:t xml:space="preserve">58% for the scan) and controls its</w:t>
      </w:r>
      <w:r>
        <w:t xml:space="preserve"> </w:t>
      </w:r>
      <w:r>
        <w:t xml:space="preserve">shape. Second, the WDD’s intervals cover the true effect about as often as</w:t>
      </w:r>
      <w:r>
        <w:t xml:space="preserve"> </w:t>
      </w:r>
      <w:r>
        <w:t xml:space="preserve">they should for the contiguous control in the smooth scenario</w:t>
      </w:r>
      <w:r>
        <w:t xml:space="preserve"> </w:t>
      </w:r>
      <w:r>
        <w:t xml:space="preserve">(94%), but in the local</w:t>
      </w:r>
      <w:r>
        <w:t xml:space="preserve"> </w:t>
      </w:r>
      <w:r>
        <w:t xml:space="preserve">scenario no control’s 95% interval reaches its nominal coverage. The</w:t>
      </w:r>
      <w:r>
        <w:t xml:space="preserve"> </w:t>
      </w:r>
      <w:r>
        <w:t xml:space="preserve">Poisson standard error ignores both overdispersion and the uncertainty in</w:t>
      </w:r>
      <w:r>
        <w:t xml:space="preserve"> </w:t>
      </w:r>
      <w:r>
        <w:t xml:space="preserve">the control’s trend; inflating it by</w:t>
      </w:r>
      <w:r>
        <w:t xml:space="preserve"> </w:t>
      </w:r>
      <m:oMath>
        <m:rad>
          <m:radPr>
            <m:degHide m:val="on"/>
          </m:radPr>
          <m:deg/>
          <m:e>
            <m:r>
              <m:t>ϕ</m:t>
            </m:r>
          </m:e>
        </m:rad>
      </m:oMath>
      <w:r>
        <w:t xml:space="preserve"> </w:t>
      </w:r>
      <w:r>
        <w:t xml:space="preserve">helps</w:t>
      </w:r>
      <w:r>
        <w:t xml:space="preserve"> </w:t>
      </w:r>
      <w:r>
        <w:t xml:space="preserve">(72% to</w:t>
      </w:r>
      <w:r>
        <w:t xml:space="preserve"> </w:t>
      </w:r>
      <w:r>
        <w:t xml:space="preserve">86% for the contiguous</w:t>
      </w:r>
      <w:r>
        <w:t xml:space="preserve"> </w:t>
      </w:r>
      <w:r>
        <w:t xml:space="preserve">control in the local scenario) but does not close the gap. Finding a</w:t>
      </w:r>
      <w:r>
        <w:t xml:space="preserve"> </w:t>
      </w:r>
      <w:r>
        <w:t xml:space="preserve">control area took about 11</w:t>
      </w:r>
      <w:r>
        <w:t xml:space="preserve"> </w:t>
      </w:r>
      <w:r>
        <w:t xml:space="preserve">seconds per world.</w:t>
      </w:r>
    </w:p>
    <w:bookmarkEnd w:id="42"/>
    <w:bookmarkEnd w:id="43"/>
    <w:bookmarkStart w:id="53" w:name="sec-dallas"/>
    <w:p>
      <w:pPr>
        <w:pStyle w:val="Heading1"/>
      </w:pPr>
      <w:r>
        <w:t xml:space="preserve">5. Case study 1: the RedBird public improvement district, Dallas</w:t>
      </w:r>
    </w:p>
    <w:p>
      <w:pPr>
        <w:pStyle w:val="FirstParagraph"/>
      </w:pPr>
      <w:r>
        <w:t xml:space="preserve">The former Red Bird Mall in southern Dallas was defunct when a developer</w:t>
      </w:r>
      <w:r>
        <w:t xml:space="preserve"> </w:t>
      </w:r>
      <w:r>
        <w:t xml:space="preserve">bought it in 2015 and began rebuilding it as a mixed-use district with</w:t>
      </w:r>
      <w:r>
        <w:t xml:space="preserve"> </w:t>
      </w:r>
      <w:r>
        <w:t xml:space="preserve">medical clinics, a Dallas College workforce center, and an entrepreneurship</w:t>
      </w:r>
      <w:r>
        <w:t xml:space="preserve"> </w:t>
      </w:r>
      <w:r>
        <w:t xml:space="preserve">center</w:t>
      </w:r>
      <w:r>
        <w:t xml:space="preserve"> </w:t>
      </w:r>
      <w:r>
        <w:t xml:space="preserve">(</w:t>
      </w:r>
      <w:hyperlink w:anchor="ref-labreport2026">
        <w:r>
          <w:rPr>
            <w:rStyle w:val="Hyperlink"/>
          </w:rPr>
          <w:t xml:space="preserve">The LAB Report Dallas 2026</w:t>
        </w:r>
      </w:hyperlink>
      <w:r>
        <w:t xml:space="preserve">)</w:t>
      </w:r>
      <w:r>
        <w:t xml:space="preserve">. In 2025 property owners petitioned</w:t>
      </w:r>
      <w:r>
        <w:t xml:space="preserve"> </w:t>
      </w:r>
      <w:r>
        <w:t xml:space="preserve">for a public improvement district, and the Dallas City Council created the</w:t>
      </w:r>
      <w:r>
        <w:t xml:space="preserve"> </w:t>
      </w:r>
      <w:r>
        <w:t xml:space="preserve">RedBird PID on May 28, 2025, for a ten-year term from January 1, 2026</w:t>
      </w:r>
      <w:r>
        <w:t xml:space="preserve"> </w:t>
      </w:r>
      <w:r>
        <w:t xml:space="preserve">through 2035</w:t>
      </w:r>
      <w:r>
        <w:t xml:space="preserve"> </w:t>
      </w:r>
      <w:r>
        <w:t xml:space="preserve">(</w:t>
      </w:r>
      <w:hyperlink w:anchor="ref-dallas2025pid">
        <w:r>
          <w:rPr>
            <w:rStyle w:val="Hyperlink"/>
          </w:rPr>
          <w:t xml:space="preserve">City of Dallas 2025</w:t>
        </w:r>
      </w:hyperlink>
      <w:r>
        <w:t xml:space="preserve">)</w:t>
      </w:r>
      <w:r>
        <w:t xml:space="preserve">. Its service plan funds public safety and</w:t>
      </w:r>
      <w:r>
        <w:t xml:space="preserve"> </w:t>
      </w:r>
      <w:r>
        <w:t xml:space="preserve">enhanced security, lighting and signage, and marketing, from an assessment</w:t>
      </w:r>
      <w:r>
        <w:t xml:space="preserve"> </w:t>
      </w:r>
      <w:r>
        <w:t xml:space="preserve">of about $0.15 per $100 of property value, around $300,000 a year. The</w:t>
      </w:r>
      <w:r>
        <w:t xml:space="preserve"> </w:t>
      </w:r>
      <w:r>
        <w:t xml:space="preserve">district covers 317 acres around the former mall, from U.S. Highway 67 west</w:t>
      </w:r>
      <w:r>
        <w:t xml:space="preserve"> </w:t>
      </w:r>
      <w:r>
        <w:t xml:space="preserve">to Cockrell Hill Road and from Camp Wisdom Road south to Interstate 20.</w:t>
      </w:r>
      <w:r>
        <w:t xml:space="preserve"> </w:t>
      </w:r>
      <w:r>
        <w:t xml:space="preserve">Similar districts elsewhere have been credited with reducing crime</w:t>
      </w:r>
      <w:r>
        <w:t xml:space="preserve"> </w:t>
      </w:r>
      <w:r>
        <w:t xml:space="preserve">(</w:t>
      </w:r>
      <w:hyperlink w:anchor="ref-macdonald2010">
        <w:r>
          <w:rPr>
            <w:rStyle w:val="Hyperlink"/>
          </w:rPr>
          <w:t xml:space="preserve">MacDonald et al. 2010</w:t>
        </w:r>
      </w:hyperlink>
      <w:r>
        <w:t xml:space="preserve">;</w:t>
      </w:r>
      <w:r>
        <w:t xml:space="preserve"> </w:t>
      </w:r>
      <w:hyperlink w:anchor="ref-cook2011">
        <w:r>
          <w:rPr>
            <w:rStyle w:val="Hyperlink"/>
          </w:rPr>
          <w:t xml:space="preserve">Cook and MacDonald 2011</w:t>
        </w:r>
      </w:hyperlink>
      <w:r>
        <w:t xml:space="preserve">)</w:t>
      </w:r>
      <w:r>
        <w:t xml:space="preserve">. PID revenue lags its creation, and local</w:t>
      </w:r>
      <w:r>
        <w:t xml:space="preserve"> </w:t>
      </w:r>
      <w:r>
        <w:t xml:space="preserve">reporting describes the district’s new security measures as starting in</w:t>
      </w:r>
      <w:r>
        <w:t xml:space="preserve"> </w:t>
      </w:r>
      <w:r>
        <w:t xml:space="preserve">August 2026, funded in the meantime by $200,000 of the council district’s</w:t>
      </w:r>
      <w:r>
        <w:t xml:space="preserve"> </w:t>
      </w:r>
      <w:r>
        <w:t xml:space="preserve">pandemic recovery money</w:t>
      </w:r>
      <w:r>
        <w:t xml:space="preserve"> </w:t>
      </w:r>
      <w:r>
        <w:t xml:space="preserve">(</w:t>
      </w:r>
      <w:hyperlink w:anchor="ref-labreport2026">
        <w:r>
          <w:rPr>
            <w:rStyle w:val="Hyperlink"/>
          </w:rPr>
          <w:t xml:space="preserve">The LAB Report Dallas 2026</w:t>
        </w:r>
      </w:hyperlink>
      <w:r>
        <w:t xml:space="preserve">)</w:t>
      </w:r>
      <w:r>
        <w:t xml:space="preserve">. The nine months of data after</w:t>
      </w:r>
      <w:r>
        <w:t xml:space="preserve"> </w:t>
      </w:r>
      <w:r>
        <w:t xml:space="preserve">January 1, 2026 therefore mostly precede the district’s full services. The</w:t>
      </w:r>
      <w:r>
        <w:t xml:space="preserve"> </w:t>
      </w:r>
      <w:r>
        <w:t xml:space="preserve">case study is an illustration of choosing the control area, not a final</w:t>
      </w:r>
      <w:r>
        <w:t xml:space="preserve"> </w:t>
      </w:r>
      <w:r>
        <w:t xml:space="preserve">evaluation of the district.</w:t>
      </w:r>
    </w:p>
    <w:p>
      <w:pPr>
        <w:pStyle w:val="BodyText"/>
      </w:pPr>
      <w:r>
        <w:t xml:space="preserve">I use Dallas Police Department incidents from the city’s open data portal,</w:t>
      </w:r>
      <w:r>
        <w:t xml:space="preserve"> </w:t>
      </w:r>
      <w:r>
        <w:t xml:space="preserve">January 2019 through September 2026. Violent crime is murder, aggravated</w:t>
      </w:r>
      <w:r>
        <w:t xml:space="preserve"> </w:t>
      </w:r>
      <w:r>
        <w:t xml:space="preserve">assault, and robbery; property crime is burglary, larceny, and motor vehicle</w:t>
      </w:r>
      <w:r>
        <w:t xml:space="preserve"> </w:t>
      </w:r>
      <w:r>
        <w:t xml:space="preserve">theft. An incident with several offenses counts once, as its most serious</w:t>
      </w:r>
      <w:r>
        <w:t xml:space="preserve"> </w:t>
      </w:r>
      <w:r>
        <w:t xml:space="preserve">offense, and family-violence aggravated assaults are almost entirely</w:t>
      </w:r>
      <w:r>
        <w:t xml:space="preserve"> </w:t>
      </w:r>
      <w:r>
        <w:t xml:space="preserve">withheld from the public file. There are 32,894</w:t>
      </w:r>
      <w:r>
        <w:t xml:space="preserve"> </w:t>
      </w:r>
      <w:r>
        <w:t xml:space="preserve">violent and 312,793 property incidents in the</w:t>
      </w:r>
      <w:r>
        <w:t xml:space="preserve"> </w:t>
      </w:r>
      <w:r>
        <w:t xml:space="preserve">seven pre-intervention years. Incidents are assigned to the</w:t>
      </w:r>
      <w:r>
        <w:t xml:space="preserve"> </w:t>
      </w:r>
      <w:r>
        <w:t xml:space="preserve">18,946 2020 census blocks with land area inside the</w:t>
      </w:r>
      <w:r>
        <w:t xml:space="preserve"> </w:t>
      </w:r>
      <w:r>
        <w:t xml:space="preserve">city. The treated counts are incidents inside the PID boundary, from the</w:t>
      </w:r>
      <w:r>
        <w:t xml:space="preserve"> </w:t>
      </w:r>
      <w:r>
        <w:t xml:space="preserve">city’s GIS layer, or within 100 feet of it, which picks up the boundary</w:t>
      </w:r>
      <w:r>
        <w:t xml:space="preserve"> </w:t>
      </w:r>
      <w:r>
        <w:t xml:space="preserve">streets. In 2025 the district had 40</w:t>
      </w:r>
      <w:r>
        <w:t xml:space="preserve"> </w:t>
      </w:r>
      <w:r>
        <w:t xml:space="preserve">violent and 140 property incidents.</w:t>
      </w:r>
      <w:r>
        <w:t xml:space="preserve"> </w:t>
      </w:r>
      <w:r>
        <w:t xml:space="preserve">Blocks within a quarter mile of the district are excluded as a buffer, as</w:t>
      </w:r>
      <w:r>
        <w:t xml:space="preserve"> </w:t>
      </w:r>
      <w:r>
        <w:t xml:space="preserve">are blocks touching any of the city’s other 17</w:t>
      </w:r>
      <w:r>
        <w:t xml:space="preserve"> </w:t>
      </w:r>
      <w:r>
        <w:t xml:space="preserve">improvement districts. The search matches the 84 months</w:t>
      </w:r>
      <w:r>
        <w:t xml:space="preserve"> </w:t>
      </w:r>
      <w:r>
        <w:t xml:space="preserve">from January 2019 through December 2025, and the WDD compares the nine</w:t>
      </w:r>
      <w:r>
        <w:t xml:space="preserve"> </w:t>
      </w:r>
      <w:r>
        <w:t xml:space="preserve">months after January 1, 2026 with the nine months before.</w:t>
      </w:r>
    </w:p>
    <w:tbl>
      <w:tblPr>
        <w:tblStyle w:val="Table"/>
        <w:tblW w:type="pct" w:w="5000"/>
        <w:tblLook w:firstRow="0" w:lastRow="0" w:firstColumn="0" w:lastColumn="0" w:noHBand="0" w:noVBand="0" w:val="0000"/>
        <w:jc w:val="start"/>
        <w:tblLayout w:type="fixed"/>
      </w:tblPr>
      <w:tblGrid>
        <w:gridCol w:w="7920"/>
      </w:tblGrid>
      <w:tr>
        <w:tc>
          <w:tcPr/>
          <w:bookmarkStart w:id="47" w:name="fig-dallas-map"/>
          <w:p>
            <w:pPr>
              <w:pStyle w:val="Compact"/>
              <w:jc w:val="center"/>
            </w:pPr>
            <w:r>
              <w:drawing>
                <wp:inline>
                  <wp:extent cx="5334000" cy="2642972"/>
                  <wp:effectExtent b="0" l="0" r="0" t="0"/>
                  <wp:docPr descr="" title="" id="45" name="Picture"/>
                  <a:graphic>
                    <a:graphicData uri="http://schemas.openxmlformats.org/drawingml/2006/picture">
                      <pic:pic>
                        <pic:nvPicPr>
                          <pic:cNvPr descr="paper_files/figure-docx/fig-dallas-map-output-1.png" id="46" name="Picture"/>
                          <pic:cNvPicPr>
                            <a:picLocks noChangeArrowheads="1" noChangeAspect="1"/>
                          </pic:cNvPicPr>
                        </pic:nvPicPr>
                        <pic:blipFill>
                          <a:blip r:embed="rId44"/>
                          <a:stretch>
                            <a:fillRect/>
                          </a:stretch>
                        </pic:blipFill>
                        <pic:spPr bwMode="auto">
                          <a:xfrm>
                            <a:off x="0" y="0"/>
                            <a:ext cx="5334000" cy="2642972"/>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The RedBird PID (black), its quarter-mile buffer (dashed), and the control areas for violent and property crime: the contiguous control (blue fill) and the pure scan’s network circle (aqua outline). Hatched areas are other public improvement districts, excluded from the control pool. Gray lines are census blocks. The right panel shows microsynth’s weights for violent crime across the whole city (darker is larger).</w:t>
            </w:r>
          </w:p>
          <w:bookmarkEnd w:id="47"/>
        </w:tc>
      </w:tr>
    </w:tbl>
    <w:tbl>
      <w:tblPr>
        <w:tblStyle w:val="Table"/>
        <w:tblW w:type="pct" w:w="5000"/>
        <w:tblLook w:firstRow="0" w:lastRow="0" w:firstColumn="0" w:lastColumn="0" w:noHBand="0" w:noVBand="0" w:val="0000"/>
        <w:jc w:val="start"/>
        <w:tblLayout w:type="fixed"/>
      </w:tblPr>
      <w:tblGrid>
        <w:gridCol w:w="7920"/>
      </w:tblGrid>
      <w:tr>
        <w:tc>
          <w:tcPr/>
          <w:bookmarkStart w:id="51" w:name="fig-dallas-series"/>
          <w:p>
            <w:pPr>
              <w:pStyle w:val="Compact"/>
              <w:jc w:val="center"/>
            </w:pPr>
            <w:r>
              <w:drawing>
                <wp:inline>
                  <wp:extent cx="5334000" cy="4112326"/>
                  <wp:effectExtent b="0" l="0" r="0" t="0"/>
                  <wp:docPr descr="" title="" id="49" name="Picture"/>
                  <a:graphic>
                    <a:graphicData uri="http://schemas.openxmlformats.org/drawingml/2006/picture">
                      <pic:pic>
                        <pic:nvPicPr>
                          <pic:cNvPr descr="paper_files/figure-docx/fig-dallas-series-output-1.png" id="50" name="Picture"/>
                          <pic:cNvPicPr>
                            <a:picLocks noChangeArrowheads="1" noChangeAspect="1"/>
                          </pic:cNvPicPr>
                        </pic:nvPicPr>
                        <pic:blipFill>
                          <a:blip r:embed="rId48"/>
                          <a:stretch>
                            <a:fillRect/>
                          </a:stretch>
                        </pic:blipFill>
                        <pic:spPr bwMode="auto">
                          <a:xfrm>
                            <a:off x="0" y="0"/>
                            <a:ext cx="5334000" cy="4112326"/>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Monthly crime in the RedBird PID, its contiguous control area, and the microsynth control. Thin lines are monthly counts, thick lines three-month moving averages computed separately before and after January 1, 2026 (dotted line).</w:t>
            </w:r>
          </w:p>
          <w:bookmarkEnd w:id="51"/>
        </w:tc>
      </w:tr>
    </w:tbl>
    <w:tbl>
      <w:tblPr>
        <w:tblStyle w:val="Table"/>
        <w:tblW w:type="pct" w:w="5000"/>
        <w:tblLook w:firstRow="0" w:lastRow="0" w:firstColumn="0" w:lastColumn="0" w:noHBand="0" w:noVBand="0" w:val="0000"/>
        <w:jc w:val="start"/>
        <w:tblLayout w:type="fixed"/>
      </w:tblPr>
      <w:tblGrid>
        <w:gridCol w:w="7920"/>
      </w:tblGrid>
      <w:tr>
        <w:tc>
          <w:tcPr/>
          <w:bookmarkStart w:id="52" w:name="tbl-dallas"/>
          <w:p>
            <w:pPr>
              <w:jc w:val="center"/>
            </w:pPr>
            <w:pPr>
              <w:jc w:val="start"/>
              <w:spacing w:before="200"/>
              <w:pStyle w:val="ImageCaption"/>
            </w:pPr>
            <w:r>
              <w:t xml:space="preserve">Table 2: WDD estimates for the RedBird PID, January to September 2026 against the nine months before. Blocks is the number of census blocks in the control (for microsynth, blocks with weight above 0.001); k is the control’s scale relative to the treated area; Violation is the largest ratio of a pre-period gap summary to its threshold (at most 1 passes all four checks); C0 and C1 are control counts before and after (divide by k to put them on the treated area’s scale).</w:t>
            </w:r>
          </w:p>
          <w:tbl>
            <w:tblPr>
              <w:tblStyle w:val="Table"/>
              <w:tblW w:type="pct" w:w="5000"/>
              <w:tblLook w:firstRow="1" w:lastRow="0" w:firstColumn="0" w:lastColumn="0" w:noHBand="0" w:noVBand="0" w:val="0020"/>
              <w:jc w:val="start"/>
              <w:tblLayout w:type="fixed"/>
            </w:tblPr>
            <w:tblGrid>
              <w:gridCol w:w="860"/>
              <w:gridCol w:w="1033"/>
              <w:gridCol w:w="860"/>
              <w:gridCol w:w="688"/>
              <w:gridCol w:w="1119"/>
              <w:gridCol w:w="688"/>
              <w:gridCol w:w="688"/>
              <w:gridCol w:w="1033"/>
              <w:gridCol w:w="946"/>
            </w:tblGrid>
            <w:tr>
              <w:trPr>
                <w:tblHeader w:val="true"/>
              </w:trPr>
              <w:tc>
                <w:tcPr/>
                <w:p>
                  <w:pPr>
                    <w:pStyle w:val="Compact"/>
                    <w:jc w:val="left"/>
                    <w:jc w:val="center"/>
                  </w:pPr>
                  <w:r>
                    <w:t xml:space="preserve">Crime</w:t>
                  </w:r>
                </w:p>
              </w:tc>
              <w:tc>
                <w:tcPr/>
                <w:p>
                  <w:pPr>
                    <w:pStyle w:val="Compact"/>
                    <w:jc w:val="left"/>
                    <w:jc w:val="center"/>
                  </w:pPr>
                  <w:r>
                    <w:t xml:space="preserve">Control</w:t>
                  </w:r>
                </w:p>
              </w:tc>
              <w:tc>
                <w:tcPr/>
                <w:p>
                  <w:pPr>
                    <w:pStyle w:val="Compact"/>
                    <w:jc w:val="right"/>
                    <w:jc w:val="center"/>
                  </w:pPr>
                  <w:r>
                    <w:t xml:space="preserve">Blocks</w:t>
                  </w:r>
                </w:p>
              </w:tc>
              <w:tc>
                <w:tcPr/>
                <w:p>
                  <w:pPr>
                    <w:pStyle w:val="Compact"/>
                    <w:jc w:val="right"/>
                    <w:jc w:val="center"/>
                  </w:pPr>
                  <w:r>
                    <w:t xml:space="preserve">k</w:t>
                  </w:r>
                </w:p>
              </w:tc>
              <w:tc>
                <w:tcPr/>
                <w:p>
                  <w:pPr>
                    <w:pStyle w:val="Compact"/>
                    <w:jc w:val="right"/>
                    <w:jc w:val="center"/>
                  </w:pPr>
                  <w:r>
                    <w:t xml:space="preserve">Violation</w:t>
                  </w:r>
                </w:p>
              </w:tc>
              <w:tc>
                <w:tcPr/>
                <w:p>
                  <w:pPr>
                    <w:pStyle w:val="Compact"/>
                    <w:jc w:val="right"/>
                    <w:jc w:val="center"/>
                  </w:pPr>
                  <w:r>
                    <w:t xml:space="preserve">C0</w:t>
                  </w:r>
                </w:p>
              </w:tc>
              <w:tc>
                <w:tcPr/>
                <w:p>
                  <w:pPr>
                    <w:pStyle w:val="Compact"/>
                    <w:jc w:val="right"/>
                    <w:jc w:val="center"/>
                  </w:pPr>
                  <w:r>
                    <w:t xml:space="preserve">C1</w:t>
                  </w:r>
                </w:p>
              </w:tc>
              <w:tc>
                <w:tcPr/>
                <w:p>
                  <w:pPr>
                    <w:pStyle w:val="Compact"/>
                    <w:jc w:val="right"/>
                    <w:jc w:val="center"/>
                  </w:pPr>
                  <w:r>
                    <w:t xml:space="preserve">WDD (SE)</w:t>
                  </w:r>
                </w:p>
              </w:tc>
              <w:tc>
                <w:tcPr/>
                <w:p>
                  <w:pPr>
                    <w:pStyle w:val="Compact"/>
                    <w:jc w:val="right"/>
                    <w:jc w:val="center"/>
                  </w:pPr>
                  <w:r>
                    <w:t xml:space="preserve">95% CI</w:t>
                  </w:r>
                </w:p>
              </w:tc>
            </w:tr>
            <w:tr>
              <w:tc>
                <w:tcPr/>
                <w:p>
                  <w:pPr>
                    <w:pStyle w:val="Compact"/>
                    <w:jc w:val="left"/>
                    <w:jc w:val="center"/>
                  </w:pPr>
                  <w:r>
                    <w:t xml:space="preserve">Violent</w:t>
                  </w:r>
                </w:p>
              </w:tc>
              <w:tc>
                <w:tcPr/>
                <w:p>
                  <w:pPr>
                    <w:pStyle w:val="Compact"/>
                    <w:jc w:val="left"/>
                    <w:jc w:val="center"/>
                  </w:pPr>
                  <w:r>
                    <w:t xml:space="preserve">Contiguous</w:t>
                  </w:r>
                </w:p>
              </w:tc>
              <w:tc>
                <w:tcPr/>
                <w:p>
                  <w:pPr>
                    <w:pStyle w:val="Compact"/>
                    <w:jc w:val="right"/>
                    <w:jc w:val="center"/>
                  </w:pPr>
                  <w:r>
                    <w:t xml:space="preserve">73</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20</w:t>
                  </w:r>
                </w:p>
              </w:tc>
              <w:tc>
                <w:tcPr/>
                <w:p>
                  <w:pPr>
                    <w:pStyle w:val="Compact"/>
                    <w:jc w:val="right"/>
                    <w:jc w:val="center"/>
                  </w:pPr>
                  <w:r>
                    <w:t xml:space="preserve">32</w:t>
                  </w:r>
                </w:p>
              </w:tc>
              <w:tc>
                <w:tcPr/>
                <w:p>
                  <w:pPr>
                    <w:pStyle w:val="Compact"/>
                    <w:jc w:val="right"/>
                    <w:jc w:val="center"/>
                  </w:pPr>
                  <w:r>
                    <w:t xml:space="preserve">-6 (11)</w:t>
                  </w:r>
                </w:p>
              </w:tc>
              <w:tc>
                <w:tcPr/>
                <w:p>
                  <w:pPr>
                    <w:pStyle w:val="Compact"/>
                    <w:jc w:val="right"/>
                    <w:jc w:val="center"/>
                  </w:pPr>
                  <w:r>
                    <w:t xml:space="preserve">-27 to 15</w:t>
                  </w:r>
                </w:p>
              </w:tc>
            </w:tr>
            <w:tr>
              <w:tc>
                <w:tcPr/>
                <w:p>
                  <w:pPr>
                    <w:pStyle w:val="Compact"/>
                    <w:jc w:val="left"/>
                    <w:jc w:val="center"/>
                  </w:pPr>
                  <w:r>
                    <w:t xml:space="preserve">Violent</w:t>
                  </w:r>
                </w:p>
              </w:tc>
              <w:tc>
                <w:tcPr/>
                <w:p>
                  <w:pPr>
                    <w:pStyle w:val="Compact"/>
                    <w:jc w:val="left"/>
                    <w:jc w:val="center"/>
                  </w:pPr>
                  <w:r>
                    <w:t xml:space="preserve">Scan</w:t>
                  </w:r>
                </w:p>
              </w:tc>
              <w:tc>
                <w:tcPr/>
                <w:p>
                  <w:pPr>
                    <w:pStyle w:val="Compact"/>
                    <w:jc w:val="right"/>
                    <w:jc w:val="center"/>
                  </w:pPr>
                  <w:r>
                    <w:t xml:space="preserve">127</w:t>
                  </w:r>
                </w:p>
              </w:tc>
              <w:tc>
                <w:tcPr/>
                <w:p>
                  <w:pPr>
                    <w:pStyle w:val="Compact"/>
                    <w:jc w:val="right"/>
                    <w:jc w:val="center"/>
                  </w:pPr>
                  <w:r>
                    <w:t xml:space="preserve">1.00</w:t>
                  </w:r>
                </w:p>
              </w:tc>
              <w:tc>
                <w:tcPr/>
                <w:p>
                  <w:pPr>
                    <w:pStyle w:val="Compact"/>
                    <w:jc w:val="right"/>
                    <w:jc w:val="center"/>
                  </w:pPr>
                  <w:r>
                    <w:t xml:space="preserve">0.99</w:t>
                  </w:r>
                </w:p>
              </w:tc>
              <w:tc>
                <w:tcPr/>
                <w:p>
                  <w:pPr>
                    <w:pStyle w:val="Compact"/>
                    <w:jc w:val="right"/>
                    <w:jc w:val="center"/>
                  </w:pPr>
                  <w:r>
                    <w:t xml:space="preserve">23</w:t>
                  </w:r>
                </w:p>
              </w:tc>
              <w:tc>
                <w:tcPr/>
                <w:p>
                  <w:pPr>
                    <w:pStyle w:val="Compact"/>
                    <w:jc w:val="right"/>
                    <w:jc w:val="center"/>
                  </w:pPr>
                  <w:r>
                    <w:t xml:space="preserve">32</w:t>
                  </w:r>
                </w:p>
              </w:tc>
              <w:tc>
                <w:tcPr/>
                <w:p>
                  <w:pPr>
                    <w:pStyle w:val="Compact"/>
                    <w:jc w:val="right"/>
                    <w:jc w:val="center"/>
                  </w:pPr>
                  <w:r>
                    <w:t xml:space="preserve">-3 (11)</w:t>
                  </w:r>
                </w:p>
              </w:tc>
              <w:tc>
                <w:tcPr/>
                <w:p>
                  <w:pPr>
                    <w:pStyle w:val="Compact"/>
                    <w:jc w:val="right"/>
                    <w:jc w:val="center"/>
                  </w:pPr>
                  <w:r>
                    <w:t xml:space="preserve">-24 to 18</w:t>
                  </w:r>
                </w:p>
              </w:tc>
            </w:tr>
            <w:tr>
              <w:tc>
                <w:tcPr/>
                <w:p>
                  <w:pPr>
                    <w:pStyle w:val="Compact"/>
                    <w:jc w:val="left"/>
                    <w:jc w:val="center"/>
                  </w:pPr>
                  <w:r>
                    <w:t xml:space="preserve">Violent</w:t>
                  </w:r>
                </w:p>
              </w:tc>
              <w:tc>
                <w:tcPr/>
                <w:p>
                  <w:pPr>
                    <w:pStyle w:val="Compact"/>
                    <w:jc w:val="left"/>
                    <w:jc w:val="center"/>
                  </w:pPr>
                  <w:r>
                    <w:t xml:space="preserve">Best fit</w:t>
                  </w:r>
                </w:p>
              </w:tc>
              <w:tc>
                <w:tcPr/>
                <w:p>
                  <w:pPr>
                    <w:pStyle w:val="Compact"/>
                    <w:jc w:val="right"/>
                    <w:jc w:val="center"/>
                  </w:pPr>
                  <w:r>
                    <w:t xml:space="preserve">142</w:t>
                  </w:r>
                </w:p>
              </w:tc>
              <w:tc>
                <w:tcPr/>
                <w:p>
                  <w:pPr>
                    <w:pStyle w:val="Compact"/>
                    <w:jc w:val="right"/>
                    <w:jc w:val="center"/>
                  </w:pPr>
                  <w:r>
                    <w:t xml:space="preserve">1.00</w:t>
                  </w:r>
                </w:p>
              </w:tc>
              <w:tc>
                <w:tcPr/>
                <w:p>
                  <w:pPr>
                    <w:pStyle w:val="Compact"/>
                    <w:jc w:val="right"/>
                    <w:jc w:val="center"/>
                  </w:pPr>
                  <w:r>
                    <w:t xml:space="preserve">0.49</w:t>
                  </w:r>
                </w:p>
              </w:tc>
              <w:tc>
                <w:tcPr/>
                <w:p>
                  <w:pPr>
                    <w:pStyle w:val="Compact"/>
                    <w:jc w:val="right"/>
                    <w:jc w:val="center"/>
                  </w:pPr>
                  <w:r>
                    <w:t xml:space="preserve">31</w:t>
                  </w:r>
                </w:p>
              </w:tc>
              <w:tc>
                <w:tcPr/>
                <w:p>
                  <w:pPr>
                    <w:pStyle w:val="Compact"/>
                    <w:jc w:val="right"/>
                    <w:jc w:val="center"/>
                  </w:pPr>
                  <w:r>
                    <w:t xml:space="preserve">30</w:t>
                  </w:r>
                </w:p>
              </w:tc>
              <w:tc>
                <w:tcPr/>
                <w:p>
                  <w:pPr>
                    <w:pStyle w:val="Compact"/>
                    <w:jc w:val="right"/>
                    <w:jc w:val="center"/>
                  </w:pPr>
                  <w:r>
                    <w:t xml:space="preserve">+7 (11)</w:t>
                  </w:r>
                </w:p>
              </w:tc>
              <w:tc>
                <w:tcPr/>
                <w:p>
                  <w:pPr>
                    <w:pStyle w:val="Compact"/>
                    <w:jc w:val="right"/>
                    <w:jc w:val="center"/>
                  </w:pPr>
                  <w:r>
                    <w:t xml:space="preserve">-15 to 29</w:t>
                  </w:r>
                </w:p>
              </w:tc>
            </w:tr>
            <w:tr>
              <w:tc>
                <w:tcPr/>
                <w:p>
                  <w:pPr>
                    <w:pStyle w:val="Compact"/>
                    <w:jc w:val="left"/>
                    <w:jc w:val="center"/>
                  </w:pPr>
                  <w:r>
                    <w:t xml:space="preserve">Violent</w:t>
                  </w:r>
                </w:p>
              </w:tc>
              <w:tc>
                <w:tcPr/>
                <w:p>
                  <w:pPr>
                    <w:pStyle w:val="Compact"/>
                    <w:jc w:val="left"/>
                    <w:jc w:val="center"/>
                  </w:pPr>
                  <w:r>
                    <w:t xml:space="preserve">Ring</w:t>
                  </w:r>
                </w:p>
              </w:tc>
              <w:tc>
                <w:tcPr/>
                <w:p>
                  <w:pPr>
                    <w:pStyle w:val="Compact"/>
                    <w:jc w:val="right"/>
                    <w:jc w:val="center"/>
                  </w:pPr>
                  <w:r>
                    <w:t xml:space="preserve">32</w:t>
                  </w:r>
                </w:p>
              </w:tc>
              <w:tc>
                <w:tcPr/>
                <w:p>
                  <w:pPr>
                    <w:pStyle w:val="Compact"/>
                    <w:jc w:val="right"/>
                    <w:jc w:val="center"/>
                  </w:pPr>
                  <w:r>
                    <w:t xml:space="preserve">0.13</w:t>
                  </w:r>
                </w:p>
              </w:tc>
              <w:tc>
                <w:tcPr/>
                <w:p>
                  <w:pPr>
                    <w:pStyle w:val="Compact"/>
                    <w:jc w:val="right"/>
                    <w:jc w:val="center"/>
                  </w:pPr>
                  <w:r>
                    <w:t xml:space="preserve">5.58</w:t>
                  </w:r>
                </w:p>
              </w:tc>
              <w:tc>
                <w:tcPr/>
                <w:p>
                  <w:pPr>
                    <w:pStyle w:val="Compact"/>
                    <w:jc w:val="right"/>
                    <w:jc w:val="center"/>
                  </w:pPr>
                  <w:r>
                    <w:t xml:space="preserve">3</w:t>
                  </w:r>
                </w:p>
              </w:tc>
              <w:tc>
                <w:tcPr/>
                <w:p>
                  <w:pPr>
                    <w:pStyle w:val="Compact"/>
                    <w:jc w:val="right"/>
                    <w:jc w:val="center"/>
                  </w:pPr>
                  <w:r>
                    <w:t xml:space="preserve">3</w:t>
                  </w:r>
                </w:p>
              </w:tc>
              <w:tc>
                <w:tcPr/>
                <w:p>
                  <w:pPr>
                    <w:pStyle w:val="Compact"/>
                    <w:jc w:val="right"/>
                    <w:jc w:val="center"/>
                  </w:pPr>
                  <w:r>
                    <w:t xml:space="preserve">+6 (21)</w:t>
                  </w:r>
                </w:p>
              </w:tc>
              <w:tc>
                <w:tcPr/>
                <w:p>
                  <w:pPr>
                    <w:pStyle w:val="Compact"/>
                    <w:jc w:val="right"/>
                    <w:jc w:val="center"/>
                  </w:pPr>
                  <w:r>
                    <w:t xml:space="preserve">-35 to 47</w:t>
                  </w:r>
                </w:p>
              </w:tc>
            </w:tr>
            <w:tr>
              <w:tc>
                <w:tcPr/>
                <w:p>
                  <w:pPr>
                    <w:pStyle w:val="Compact"/>
                    <w:jc w:val="left"/>
                    <w:jc w:val="center"/>
                  </w:pPr>
                  <w:r>
                    <w:t xml:space="preserve">Violent</w:t>
                  </w:r>
                </w:p>
              </w:tc>
              <w:tc>
                <w:tcPr/>
                <w:p>
                  <w:pPr>
                    <w:pStyle w:val="Compact"/>
                    <w:jc w:val="left"/>
                    <w:jc w:val="center"/>
                  </w:pPr>
                  <w:r>
                    <w:t xml:space="preserve">City</w:t>
                  </w:r>
                </w:p>
              </w:tc>
              <w:tc>
                <w:tcPr/>
                <w:p>
                  <w:pPr>
                    <w:pStyle w:val="Compact"/>
                    <w:jc w:val="right"/>
                    <w:jc w:val="center"/>
                  </w:pPr>
                  <w:r>
                    <w:t xml:space="preserve">17,387</w:t>
                  </w:r>
                </w:p>
              </w:tc>
              <w:tc>
                <w:tcPr/>
                <w:p>
                  <w:pPr>
                    <w:pStyle w:val="Compact"/>
                    <w:jc w:val="right"/>
                    <w:jc w:val="center"/>
                  </w:pPr>
                  <w:r>
                    <w:t xml:space="preserve">86.10</w:t>
                  </w:r>
                </w:p>
              </w:tc>
              <w:tc>
                <w:tcPr/>
                <w:p>
                  <w:pPr>
                    <w:pStyle w:val="Compact"/>
                    <w:jc w:val="right"/>
                    <w:jc w:val="center"/>
                  </w:pPr>
                  <w:r>
                    <w:t xml:space="preserve">1.20</w:t>
                  </w:r>
                </w:p>
              </w:tc>
              <w:tc>
                <w:tcPr/>
                <w:p>
                  <w:pPr>
                    <w:pStyle w:val="Compact"/>
                    <w:jc w:val="right"/>
                    <w:jc w:val="center"/>
                  </w:pPr>
                  <w:r>
                    <w:t xml:space="preserve">2,110</w:t>
                  </w:r>
                </w:p>
              </w:tc>
              <w:tc>
                <w:tcPr/>
                <w:p>
                  <w:pPr>
                    <w:pStyle w:val="Compact"/>
                    <w:jc w:val="right"/>
                    <w:jc w:val="center"/>
                  </w:pPr>
                  <w:r>
                    <w:t xml:space="preserve">1,785</w:t>
                  </w:r>
                </w:p>
              </w:tc>
              <w:tc>
                <w:tcPr/>
                <w:p>
                  <w:pPr>
                    <w:pStyle w:val="Compact"/>
                    <w:jc w:val="right"/>
                    <w:jc w:val="center"/>
                  </w:pPr>
                  <w:r>
                    <w:t xml:space="preserve">+10 (8)</w:t>
                  </w:r>
                </w:p>
              </w:tc>
              <w:tc>
                <w:tcPr/>
                <w:p>
                  <w:pPr>
                    <w:pStyle w:val="Compact"/>
                    <w:jc w:val="right"/>
                    <w:jc w:val="center"/>
                  </w:pPr>
                  <w:r>
                    <w:t xml:space="preserve">-6 to 26</w:t>
                  </w:r>
                </w:p>
              </w:tc>
            </w:tr>
            <w:tr>
              <w:tc>
                <w:tcPr/>
                <w:p>
                  <w:pPr>
                    <w:pStyle w:val="Compact"/>
                    <w:jc w:val="left"/>
                    <w:jc w:val="center"/>
                  </w:pPr>
                  <w:r>
                    <w:t xml:space="preserve">Violent</w:t>
                  </w:r>
                </w:p>
              </w:tc>
              <w:tc>
                <w:tcPr/>
                <w:p>
                  <w:pPr>
                    <w:pStyle w:val="Compact"/>
                    <w:jc w:val="left"/>
                    <w:jc w:val="center"/>
                  </w:pPr>
                  <w:r>
                    <w:t xml:space="preserve">Microsynth</w:t>
                  </w:r>
                </w:p>
              </w:tc>
              <w:tc>
                <w:tcPr/>
                <w:p>
                  <w:pPr>
                    <w:pStyle w:val="Compact"/>
                    <w:jc w:val="right"/>
                    <w:jc w:val="center"/>
                  </w:pPr>
                  <w:r>
                    <w:t xml:space="preserve">418</w:t>
                  </w:r>
                </w:p>
              </w:tc>
              <w:tc>
                <w:tcPr/>
                <w:p>
                  <w:pPr>
                    <w:pStyle w:val="Compact"/>
                    <w:jc w:val="right"/>
                    <w:jc w:val="center"/>
                  </w:pPr>
                  <w:r>
                    <w:t xml:space="preserve">1.00</w:t>
                  </w:r>
                </w:p>
              </w:tc>
              <w:tc>
                <w:tcPr/>
                <w:p>
                  <w:pPr>
                    <w:pStyle w:val="Compact"/>
                    <w:jc w:val="right"/>
                    <w:jc w:val="center"/>
                  </w:pPr>
                  <w:r>
                    <w:t xml:space="preserve">0.00</w:t>
                  </w:r>
                </w:p>
              </w:tc>
              <w:tc>
                <w:tcPr/>
                <w:p>
                  <w:pPr>
                    <w:pStyle w:val="Compact"/>
                    <w:jc w:val="right"/>
                    <w:jc w:val="center"/>
                  </w:pPr>
                  <w:r>
                    <w:t xml:space="preserve">29</w:t>
                  </w:r>
                </w:p>
              </w:tc>
              <w:tc>
                <w:tcPr/>
                <w:p>
                  <w:pPr>
                    <w:pStyle w:val="Compact"/>
                    <w:jc w:val="right"/>
                    <w:jc w:val="center"/>
                  </w:pPr>
                  <w:r>
                    <w:t xml:space="preserve">18</w:t>
                  </w:r>
                </w:p>
              </w:tc>
              <w:tc>
                <w:tcPr/>
                <w:p>
                  <w:pPr>
                    <w:pStyle w:val="Compact"/>
                    <w:jc w:val="right"/>
                    <w:jc w:val="center"/>
                  </w:pPr>
                  <w:r>
                    <w:t xml:space="preserve">+17 (9)</w:t>
                  </w:r>
                </w:p>
              </w:tc>
              <w:tc>
                <w:tcPr/>
                <w:p>
                  <w:pPr>
                    <w:pStyle w:val="Compact"/>
                    <w:jc w:val="right"/>
                    <w:jc w:val="center"/>
                  </w:pPr>
                  <w:r>
                    <w:t xml:space="preserve">0 to 35</w:t>
                  </w:r>
                </w:p>
              </w:tc>
            </w:tr>
            <w:tr>
              <w:tc>
                <w:tcPr/>
                <w:p>
                  <w:pPr>
                    <w:pStyle w:val="Compact"/>
                    <w:jc w:val="left"/>
                    <w:jc w:val="center"/>
                  </w:pPr>
                  <w:r>
                    <w:t xml:space="preserve">Property</w:t>
                  </w:r>
                </w:p>
              </w:tc>
              <w:tc>
                <w:tcPr/>
                <w:p>
                  <w:pPr>
                    <w:pStyle w:val="Compact"/>
                    <w:jc w:val="left"/>
                    <w:jc w:val="center"/>
                  </w:pPr>
                  <w:r>
                    <w:t xml:space="preserve">Contiguous</w:t>
                  </w:r>
                </w:p>
              </w:tc>
              <w:tc>
                <w:tcPr/>
                <w:p>
                  <w:pPr>
                    <w:pStyle w:val="Compact"/>
                    <w:jc w:val="right"/>
                    <w:jc w:val="center"/>
                  </w:pPr>
                  <w:r>
                    <w:t xml:space="preserve">46</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105</w:t>
                  </w:r>
                </w:p>
              </w:tc>
              <w:tc>
                <w:tcPr/>
                <w:p>
                  <w:pPr>
                    <w:pStyle w:val="Compact"/>
                    <w:jc w:val="right"/>
                    <w:jc w:val="center"/>
                  </w:pPr>
                  <w:r>
                    <w:t xml:space="preserve">105</w:t>
                  </w:r>
                </w:p>
              </w:tc>
              <w:tc>
                <w:tcPr/>
                <w:p>
                  <w:pPr>
                    <w:pStyle w:val="Compact"/>
                    <w:jc w:val="right"/>
                    <w:jc w:val="center"/>
                  </w:pPr>
                  <w:r>
                    <w:t xml:space="preserve">+15 (21)</w:t>
                  </w:r>
                </w:p>
              </w:tc>
              <w:tc>
                <w:tcPr/>
                <w:p>
                  <w:pPr>
                    <w:pStyle w:val="Compact"/>
                    <w:jc w:val="right"/>
                    <w:jc w:val="center"/>
                  </w:pPr>
                  <w:r>
                    <w:t xml:space="preserve">-26 to 56</w:t>
                  </w:r>
                </w:p>
              </w:tc>
            </w:tr>
            <w:tr>
              <w:tc>
                <w:tcPr/>
                <w:p>
                  <w:pPr>
                    <w:pStyle w:val="Compact"/>
                    <w:jc w:val="left"/>
                    <w:jc w:val="center"/>
                  </w:pPr>
                  <w:r>
                    <w:t xml:space="preserve">Property</w:t>
                  </w:r>
                </w:p>
              </w:tc>
              <w:tc>
                <w:tcPr/>
                <w:p>
                  <w:pPr>
                    <w:pStyle w:val="Compact"/>
                    <w:jc w:val="left"/>
                    <w:jc w:val="center"/>
                  </w:pPr>
                  <w:r>
                    <w:t xml:space="preserve">Scan</w:t>
                  </w:r>
                </w:p>
              </w:tc>
              <w:tc>
                <w:tcPr/>
                <w:p>
                  <w:pPr>
                    <w:pStyle w:val="Compact"/>
                    <w:jc w:val="right"/>
                    <w:jc w:val="center"/>
                  </w:pPr>
                  <w:r>
                    <w:t xml:space="preserve">110</w:t>
                  </w:r>
                </w:p>
              </w:tc>
              <w:tc>
                <w:tcPr/>
                <w:p>
                  <w:pPr>
                    <w:pStyle w:val="Compact"/>
                    <w:jc w:val="right"/>
                    <w:jc w:val="center"/>
                  </w:pPr>
                  <w:r>
                    <w:t xml:space="preserve">1.00</w:t>
                  </w:r>
                </w:p>
              </w:tc>
              <w:tc>
                <w:tcPr/>
                <w:p>
                  <w:pPr>
                    <w:pStyle w:val="Compact"/>
                    <w:jc w:val="right"/>
                    <w:jc w:val="center"/>
                  </w:pPr>
                  <w:r>
                    <w:t xml:space="preserve">0.97</w:t>
                  </w:r>
                </w:p>
              </w:tc>
              <w:tc>
                <w:tcPr/>
                <w:p>
                  <w:pPr>
                    <w:pStyle w:val="Compact"/>
                    <w:jc w:val="right"/>
                    <w:jc w:val="center"/>
                  </w:pPr>
                  <w:r>
                    <w:t xml:space="preserve">106</w:t>
                  </w:r>
                </w:p>
              </w:tc>
              <w:tc>
                <w:tcPr/>
                <w:p>
                  <w:pPr>
                    <w:pStyle w:val="Compact"/>
                    <w:jc w:val="right"/>
                    <w:jc w:val="center"/>
                  </w:pPr>
                  <w:r>
                    <w:t xml:space="preserve">108</w:t>
                  </w:r>
                </w:p>
              </w:tc>
              <w:tc>
                <w:tcPr/>
                <w:p>
                  <w:pPr>
                    <w:pStyle w:val="Compact"/>
                    <w:jc w:val="right"/>
                    <w:jc w:val="center"/>
                  </w:pPr>
                  <w:r>
                    <w:t xml:space="preserve">+13 (21)</w:t>
                  </w:r>
                </w:p>
              </w:tc>
              <w:tc>
                <w:tcPr/>
                <w:p>
                  <w:pPr>
                    <w:pStyle w:val="Compact"/>
                    <w:jc w:val="right"/>
                    <w:jc w:val="center"/>
                  </w:pPr>
                  <w:r>
                    <w:t xml:space="preserve">-28 to 54</w:t>
                  </w:r>
                </w:p>
              </w:tc>
            </w:tr>
            <w:tr>
              <w:tc>
                <w:tcPr/>
                <w:p>
                  <w:pPr>
                    <w:pStyle w:val="Compact"/>
                    <w:jc w:val="left"/>
                    <w:jc w:val="center"/>
                  </w:pPr>
                  <w:r>
                    <w:t xml:space="preserve">Property</w:t>
                  </w:r>
                </w:p>
              </w:tc>
              <w:tc>
                <w:tcPr/>
                <w:p>
                  <w:pPr>
                    <w:pStyle w:val="Compact"/>
                    <w:jc w:val="left"/>
                    <w:jc w:val="center"/>
                  </w:pPr>
                  <w:r>
                    <w:t xml:space="preserve">Best fit</w:t>
                  </w:r>
                </w:p>
              </w:tc>
              <w:tc>
                <w:tcPr/>
                <w:p>
                  <w:pPr>
                    <w:pStyle w:val="Compact"/>
                    <w:jc w:val="right"/>
                    <w:jc w:val="center"/>
                  </w:pPr>
                  <w:r>
                    <w:t xml:space="preserve">210</w:t>
                  </w:r>
                </w:p>
              </w:tc>
              <w:tc>
                <w:tcPr/>
                <w:p>
                  <w:pPr>
                    <w:pStyle w:val="Compact"/>
                    <w:jc w:val="right"/>
                    <w:jc w:val="center"/>
                  </w:pPr>
                  <w:r>
                    <w:t xml:space="preserve">1.00</w:t>
                  </w:r>
                </w:p>
              </w:tc>
              <w:tc>
                <w:tcPr/>
                <w:p>
                  <w:pPr>
                    <w:pStyle w:val="Compact"/>
                    <w:jc w:val="right"/>
                    <w:jc w:val="center"/>
                  </w:pPr>
                  <w:r>
                    <w:t xml:space="preserve">1.10</w:t>
                  </w:r>
                </w:p>
              </w:tc>
              <w:tc>
                <w:tcPr/>
                <w:p>
                  <w:pPr>
                    <w:pStyle w:val="Compact"/>
                    <w:jc w:val="right"/>
                    <w:jc w:val="center"/>
                  </w:pPr>
                  <w:r>
                    <w:t xml:space="preserve">130</w:t>
                  </w:r>
                </w:p>
              </w:tc>
              <w:tc>
                <w:tcPr/>
                <w:p>
                  <w:pPr>
                    <w:pStyle w:val="Compact"/>
                    <w:jc w:val="right"/>
                    <w:jc w:val="center"/>
                  </w:pPr>
                  <w:r>
                    <w:t xml:space="preserve">137</w:t>
                  </w:r>
                </w:p>
              </w:tc>
              <w:tc>
                <w:tcPr/>
                <w:p>
                  <w:pPr>
                    <w:pStyle w:val="Compact"/>
                    <w:jc w:val="right"/>
                    <w:jc w:val="center"/>
                  </w:pPr>
                  <w:r>
                    <w:t xml:space="preserve">+8 (22)</w:t>
                  </w:r>
                </w:p>
              </w:tc>
              <w:tc>
                <w:tcPr/>
                <w:p>
                  <w:pPr>
                    <w:pStyle w:val="Compact"/>
                    <w:jc w:val="right"/>
                    <w:jc w:val="center"/>
                  </w:pPr>
                  <w:r>
                    <w:t xml:space="preserve">-35 to 51</w:t>
                  </w:r>
                </w:p>
              </w:tc>
            </w:tr>
            <w:tr>
              <w:tc>
                <w:tcPr/>
                <w:p>
                  <w:pPr>
                    <w:pStyle w:val="Compact"/>
                    <w:jc w:val="left"/>
                    <w:jc w:val="center"/>
                  </w:pPr>
                  <w:r>
                    <w:t xml:space="preserve">Property</w:t>
                  </w:r>
                </w:p>
              </w:tc>
              <w:tc>
                <w:tcPr/>
                <w:p>
                  <w:pPr>
                    <w:pStyle w:val="Compact"/>
                    <w:jc w:val="left"/>
                    <w:jc w:val="center"/>
                  </w:pPr>
                  <w:r>
                    <w:t xml:space="preserve">Ring</w:t>
                  </w:r>
                </w:p>
              </w:tc>
              <w:tc>
                <w:tcPr/>
                <w:p>
                  <w:pPr>
                    <w:pStyle w:val="Compact"/>
                    <w:jc w:val="right"/>
                    <w:jc w:val="center"/>
                  </w:pPr>
                  <w:r>
                    <w:t xml:space="preserve">32</w:t>
                  </w:r>
                </w:p>
              </w:tc>
              <w:tc>
                <w:tcPr/>
                <w:p>
                  <w:pPr>
                    <w:pStyle w:val="Compact"/>
                    <w:jc w:val="right"/>
                    <w:jc w:val="center"/>
                  </w:pPr>
                  <w:r>
                    <w:t xml:space="preserve">0.31</w:t>
                  </w:r>
                </w:p>
              </w:tc>
              <w:tc>
                <w:tcPr/>
                <w:p>
                  <w:pPr>
                    <w:pStyle w:val="Compact"/>
                    <w:jc w:val="right"/>
                    <w:jc w:val="center"/>
                  </w:pPr>
                  <w:r>
                    <w:t xml:space="preserve">4.39</w:t>
                  </w:r>
                </w:p>
              </w:tc>
              <w:tc>
                <w:tcPr/>
                <w:p>
                  <w:pPr>
                    <w:pStyle w:val="Compact"/>
                    <w:jc w:val="right"/>
                    <w:jc w:val="center"/>
                  </w:pPr>
                  <w:r>
                    <w:t xml:space="preserve">31</w:t>
                  </w:r>
                </w:p>
              </w:tc>
              <w:tc>
                <w:tcPr/>
                <w:p>
                  <w:pPr>
                    <w:pStyle w:val="Compact"/>
                    <w:jc w:val="right"/>
                    <w:jc w:val="center"/>
                  </w:pPr>
                  <w:r>
                    <w:t xml:space="preserve">23</w:t>
                  </w:r>
                </w:p>
              </w:tc>
              <w:tc>
                <w:tcPr/>
                <w:p>
                  <w:pPr>
                    <w:pStyle w:val="Compact"/>
                    <w:jc w:val="right"/>
                    <w:jc w:val="center"/>
                  </w:pPr>
                  <w:r>
                    <w:t xml:space="preserve">+41 (28)</w:t>
                  </w:r>
                </w:p>
              </w:tc>
              <w:tc>
                <w:tcPr/>
                <w:p>
                  <w:pPr>
                    <w:pStyle w:val="Compact"/>
                    <w:jc w:val="right"/>
                    <w:jc w:val="center"/>
                  </w:pPr>
                  <w:r>
                    <w:t xml:space="preserve">-14 to 96</w:t>
                  </w:r>
                </w:p>
              </w:tc>
            </w:tr>
            <w:tr>
              <w:tc>
                <w:tcPr/>
                <w:p>
                  <w:pPr>
                    <w:pStyle w:val="Compact"/>
                    <w:jc w:val="left"/>
                    <w:jc w:val="center"/>
                  </w:pPr>
                  <w:r>
                    <w:t xml:space="preserve">Property</w:t>
                  </w:r>
                </w:p>
              </w:tc>
              <w:tc>
                <w:tcPr/>
                <w:p>
                  <w:pPr>
                    <w:pStyle w:val="Compact"/>
                    <w:jc w:val="left"/>
                    <w:jc w:val="center"/>
                  </w:pPr>
                  <w:r>
                    <w:t xml:space="preserve">City</w:t>
                  </w:r>
                </w:p>
              </w:tc>
              <w:tc>
                <w:tcPr/>
                <w:p>
                  <w:pPr>
                    <w:pStyle w:val="Compact"/>
                    <w:jc w:val="right"/>
                    <w:jc w:val="center"/>
                  </w:pPr>
                  <w:r>
                    <w:t xml:space="preserve">17,293</w:t>
                  </w:r>
                </w:p>
              </w:tc>
              <w:tc>
                <w:tcPr/>
                <w:p>
                  <w:pPr>
                    <w:pStyle w:val="Compact"/>
                    <w:jc w:val="right"/>
                    <w:jc w:val="center"/>
                  </w:pPr>
                  <w:r>
                    <w:t xml:space="preserve">153.80</w:t>
                  </w:r>
                </w:p>
              </w:tc>
              <w:tc>
                <w:tcPr/>
                <w:p>
                  <w:pPr>
                    <w:pStyle w:val="Compact"/>
                    <w:jc w:val="right"/>
                    <w:jc w:val="center"/>
                  </w:pPr>
                  <w:r>
                    <w:t xml:space="preserve">1.21</w:t>
                  </w:r>
                </w:p>
              </w:tc>
              <w:tc>
                <w:tcPr/>
                <w:p>
                  <w:pPr>
                    <w:pStyle w:val="Compact"/>
                    <w:jc w:val="right"/>
                    <w:jc w:val="center"/>
                  </w:pPr>
                  <w:r>
                    <w:t xml:space="preserve">19,043</w:t>
                  </w:r>
                </w:p>
              </w:tc>
              <w:tc>
                <w:tcPr/>
                <w:p>
                  <w:pPr>
                    <w:pStyle w:val="Compact"/>
                    <w:jc w:val="right"/>
                    <w:jc w:val="center"/>
                  </w:pPr>
                  <w:r>
                    <w:t xml:space="preserve">17,326</w:t>
                  </w:r>
                </w:p>
              </w:tc>
              <w:tc>
                <w:tcPr/>
                <w:p>
                  <w:pPr>
                    <w:pStyle w:val="Compact"/>
                    <w:jc w:val="right"/>
                    <w:jc w:val="center"/>
                  </w:pPr>
                  <w:r>
                    <w:t xml:space="preserve">+26 (15)</w:t>
                  </w:r>
                </w:p>
              </w:tc>
              <w:tc>
                <w:tcPr/>
                <w:p>
                  <w:pPr>
                    <w:pStyle w:val="Compact"/>
                    <w:jc w:val="right"/>
                    <w:jc w:val="center"/>
                  </w:pPr>
                  <w:r>
                    <w:t xml:space="preserve">-3 to 55</w:t>
                  </w:r>
                </w:p>
              </w:tc>
            </w:tr>
            <w:tr>
              <w:tc>
                <w:tcPr/>
                <w:p>
                  <w:pPr>
                    <w:pStyle w:val="Compact"/>
                    <w:jc w:val="left"/>
                    <w:jc w:val="center"/>
                  </w:pPr>
                  <w:r>
                    <w:t xml:space="preserve">Property</w:t>
                  </w:r>
                </w:p>
              </w:tc>
              <w:tc>
                <w:tcPr/>
                <w:p>
                  <w:pPr>
                    <w:pStyle w:val="Compact"/>
                    <w:jc w:val="left"/>
                    <w:jc w:val="center"/>
                  </w:pPr>
                  <w:r>
                    <w:t xml:space="preserve">Microsynth</w:t>
                  </w:r>
                </w:p>
              </w:tc>
              <w:tc>
                <w:tcPr/>
                <w:p>
                  <w:pPr>
                    <w:pStyle w:val="Compact"/>
                    <w:jc w:val="right"/>
                    <w:jc w:val="center"/>
                  </w:pPr>
                  <w:r>
                    <w:t xml:space="preserve">10,456</w:t>
                  </w:r>
                </w:p>
              </w:tc>
              <w:tc>
                <w:tcPr/>
                <w:p>
                  <w:pPr>
                    <w:pStyle w:val="Compact"/>
                    <w:jc w:val="right"/>
                    <w:jc w:val="center"/>
                  </w:pPr>
                  <w:r>
                    <w:t xml:space="preserve">1.00</w:t>
                  </w:r>
                </w:p>
              </w:tc>
              <w:tc>
                <w:tcPr/>
                <w:p>
                  <w:pPr>
                    <w:pStyle w:val="Compact"/>
                    <w:jc w:val="right"/>
                    <w:jc w:val="center"/>
                  </w:pPr>
                  <w:r>
                    <w:t xml:space="preserve">0.00</w:t>
                  </w:r>
                </w:p>
              </w:tc>
              <w:tc>
                <w:tcPr/>
                <w:p>
                  <w:pPr>
                    <w:pStyle w:val="Compact"/>
                    <w:jc w:val="right"/>
                    <w:jc w:val="center"/>
                  </w:pPr>
                  <w:r>
                    <w:t xml:space="preserve">103</w:t>
                  </w:r>
                </w:p>
              </w:tc>
              <w:tc>
                <w:tcPr/>
                <w:p>
                  <w:pPr>
                    <w:pStyle w:val="Compact"/>
                    <w:jc w:val="right"/>
                    <w:jc w:val="center"/>
                  </w:pPr>
                  <w:r>
                    <w:t xml:space="preserve">94</w:t>
                  </w:r>
                </w:p>
              </w:tc>
              <w:tc>
                <w:tcPr/>
                <w:p>
                  <w:pPr>
                    <w:pStyle w:val="Compact"/>
                    <w:jc w:val="right"/>
                    <w:jc w:val="center"/>
                  </w:pPr>
                  <w:r>
                    <w:t xml:space="preserve">+24 (16)</w:t>
                  </w:r>
                </w:p>
              </w:tc>
              <w:tc>
                <w:tcPr/>
                <w:p>
                  <w:pPr>
                    <w:pStyle w:val="Compact"/>
                    <w:jc w:val="right"/>
                    <w:jc w:val="center"/>
                  </w:pPr>
                  <w:r>
                    <w:t xml:space="preserve">-7 to 56</w:t>
                  </w:r>
                </w:p>
              </w:tc>
            </w:tr>
          </w:tbl>
          <w:bookmarkEnd w:id="52"/>
          <w:p/>
        </w:tc>
      </w:tr>
    </w:tbl>
    <w:p>
      <w:pPr>
        <w:pStyle w:val="BodyText"/>
      </w:pPr>
      <w:r>
        <w:t xml:space="preserve">The search screened 4,600 windows</w:t>
      </w:r>
      <w:r>
        <w:t xml:space="preserve"> </w:t>
      </w:r>
      <w:r>
        <w:t xml:space="preserve">for violent crime and 7,365 for</w:t>
      </w:r>
      <w:r>
        <w:t xml:space="preserve"> </w:t>
      </w:r>
      <w:r>
        <w:t xml:space="preserve">property crime, and took 2.5</w:t>
      </w:r>
      <w:r>
        <w:t xml:space="preserve"> </w:t>
      </w:r>
      <w:r>
        <w:t xml:space="preserve">and 4.0 minutes. The</w:t>
      </w:r>
      <w:r>
        <w:t xml:space="preserve"> </w:t>
      </w:r>
      <w:r>
        <w:t xml:space="preserve">estimated dispersion of the district’s monthly counts is</w:t>
      </w:r>
      <w:r>
        <w:t xml:space="preserve"> </w:t>
      </w:r>
      <w:r>
        <w:t xml:space="preserve">1.00 for violent and</w:t>
      </w:r>
      <w:r>
        <w:t xml:space="preserve"> </w:t>
      </w:r>
      <w:r>
        <w:t xml:space="preserve">1.41 for property crime.</w:t>
      </w:r>
      <w:r>
        <w:t xml:space="preserve"> </w:t>
      </w:r>
      <w:hyperlink w:anchor="fig-dallas-map">
        <w:r>
          <w:rPr>
            <w:rStyle w:val="Hyperlink"/>
          </w:rPr>
          <w:t xml:space="preserve">Figure 3</w:t>
        </w:r>
      </w:hyperlink>
      <w:r>
        <w:t xml:space="preserve"> </w:t>
      </w:r>
      <w:r>
        <w:t xml:space="preserve">shows the two control areas. For violent crime it is</w:t>
      </w:r>
      <w:r>
        <w:t xml:space="preserve"> </w:t>
      </w:r>
      <w:r>
        <w:t xml:space="preserve">73 blocks</w:t>
      </w:r>
      <w:r>
        <w:t xml:space="preserve"> </w:t>
      </w:r>
      <w:r>
        <w:t xml:space="preserve">(2.4 square</w:t>
      </w:r>
      <w:r>
        <w:t xml:space="preserve"> </w:t>
      </w:r>
      <w:r>
        <w:t xml:space="preserve">miles) south of the district, across Interstate 20; for property crime,</w:t>
      </w:r>
      <w:r>
        <w:t xml:space="preserve"> </w:t>
      </w:r>
      <w:r>
        <w:t xml:space="preserve">46 blocks</w:t>
      </w:r>
      <w:r>
        <w:t xml:space="preserve"> </w:t>
      </w:r>
      <w:r>
        <w:t xml:space="preserve">(0.8 square</w:t>
      </w:r>
      <w:r>
        <w:t xml:space="preserve"> </w:t>
      </w:r>
      <w:r>
        <w:t xml:space="preserve">miles) north of it. Both are larger than the half-square-mile district,</w:t>
      </w:r>
      <w:r>
        <w:t xml:space="preserve"> </w:t>
      </w:r>
      <w:r>
        <w:t xml:space="preserve">because the former mall has more crime per square mile than the</w:t>
      </w:r>
      <w:r>
        <w:t xml:space="preserve"> </w:t>
      </w:r>
      <w:r>
        <w:t xml:space="preserve">neighborhoods around it. The scan’s network circles cover much of the same</w:t>
      </w:r>
      <w:r>
        <w:t xml:space="preserve"> </w:t>
      </w:r>
      <w:r>
        <w:t xml:space="preserve">ground but are larger. Microsynth, by contrast, puts weight on</w:t>
      </w:r>
      <w:r>
        <w:t xml:space="preserve"> </w:t>
      </w:r>
      <w:r>
        <w:t xml:space="preserve">418 blocks across the</w:t>
      </w:r>
      <w:r>
        <w:t xml:space="preserve"> </w:t>
      </w:r>
      <w:r>
        <w:t xml:space="preserve">city for violent crime and 10,456</w:t>
      </w:r>
      <w:r>
        <w:t xml:space="preserve"> </w:t>
      </w:r>
      <w:r>
        <w:t xml:space="preserve">for property crime.</w:t>
      </w:r>
      <w:r>
        <w:t xml:space="preserve"> </w:t>
      </w:r>
      <w:hyperlink w:anchor="fig-dallas-series">
        <w:r>
          <w:rPr>
            <w:rStyle w:val="Hyperlink"/>
          </w:rPr>
          <w:t xml:space="preserve">Figure 4</w:t>
        </w:r>
      </w:hyperlink>
      <w:r>
        <w:t xml:space="preserve"> </w:t>
      </w:r>
      <w:r>
        <w:t xml:space="preserve">shows that the contiguous controls</w:t>
      </w:r>
      <w:r>
        <w:t xml:space="preserve"> </w:t>
      </w:r>
      <w:r>
        <w:t xml:space="preserve">track the district’s monthly crime from 2019 through 2025, including the</w:t>
      </w:r>
      <w:r>
        <w:t xml:space="preserve"> </w:t>
      </w:r>
      <w:r>
        <w:t xml:space="preserve">fall in property crime in 2019 and 2020 and its rise in 2021 and 2022.</w:t>
      </w:r>
      <w:r>
        <w:t xml:space="preserve"> </w:t>
      </w:r>
      <w:r>
        <w:t xml:space="preserve">Microsynth’s weighted series reproduces the district’s monthly counts</w:t>
      </w:r>
      <w:r>
        <w:t xml:space="preserve"> </w:t>
      </w:r>
      <w:r>
        <w:t xml:space="preserve">exactly (its line lies under the treated area’s before 2026).</w:t>
      </w:r>
    </w:p>
    <w:p>
      <w:pPr>
        <w:pStyle w:val="BodyText"/>
      </w:pPr>
      <w:hyperlink w:anchor="tbl-dallas">
        <w:r>
          <w:rPr>
            <w:rStyle w:val="Hyperlink"/>
          </w:rPr>
          <w:t xml:space="preserve">Table 2</w:t>
        </w:r>
      </w:hyperlink>
      <w:r>
        <w:t xml:space="preserve"> </w:t>
      </w:r>
      <w:r>
        <w:t xml:space="preserve">gives the WDD estimates. Violent crime in the district went from</w:t>
      </w:r>
      <w:r>
        <w:t xml:space="preserve"> </w:t>
      </w:r>
      <w:r>
        <w:t xml:space="preserve">29 incidents in the nine months before</w:t>
      </w:r>
      <w:r>
        <w:t xml:space="preserve"> </w:t>
      </w:r>
      <w:r>
        <w:t xml:space="preserve">January 2026 to 35 in the nine months</w:t>
      </w:r>
      <w:r>
        <w:t xml:space="preserve"> </w:t>
      </w:r>
      <w:r>
        <w:t xml:space="preserve">after, in line with local reports of rising violence in part of the district</w:t>
      </w:r>
      <w:r>
        <w:t xml:space="preserve"> </w:t>
      </w:r>
      <w:r>
        <w:t xml:space="preserve">(</w:t>
      </w:r>
      <w:hyperlink w:anchor="ref-labreport2026">
        <w:r>
          <w:rPr>
            <w:rStyle w:val="Hyperlink"/>
          </w:rPr>
          <w:t xml:space="preserve">The LAB Report Dallas 2026</w:t>
        </w:r>
      </w:hyperlink>
      <w:r>
        <w:t xml:space="preserve">)</w:t>
      </w:r>
      <w:r>
        <w:t xml:space="preserve">, but its contiguous control rose by more, and the WDD is</w:t>
      </w:r>
      <w:r>
        <w:t xml:space="preserve"> </w:t>
      </w:r>
      <w:r>
        <w:t xml:space="preserve">-6 (SE 11). Property crime went from</w:t>
      </w:r>
      <w:r>
        <w:t xml:space="preserve"> </w:t>
      </w:r>
      <w:r>
        <w:t xml:space="preserve">103 to</w:t>
      </w:r>
      <w:r>
        <w:t xml:space="preserve"> </w:t>
      </w:r>
      <w:r>
        <w:t xml:space="preserve">118, and the WDD against its contiguous</w:t>
      </w:r>
      <w:r>
        <w:t xml:space="preserve"> </w:t>
      </w:r>
      <w:r>
        <w:t xml:space="preserve">control is +15 (SE 21). Neither is</w:t>
      </w:r>
      <w:r>
        <w:t xml:space="preserve"> </w:t>
      </w:r>
      <w:r>
        <w:t xml:space="preserve">distinguishable from no change, which is what one would expect of a</w:t>
      </w:r>
      <w:r>
        <w:t xml:space="preserve"> </w:t>
      </w:r>
      <w:r>
        <w:t xml:space="preserve">district whose services had barely begun.</w:t>
      </w:r>
    </w:p>
    <w:p>
      <w:pPr>
        <w:pStyle w:val="BodyText"/>
      </w:pPr>
      <w:r>
        <w:t xml:space="preserve">The comparison controls show why the choice matters. The ring around the</w:t>
      </w:r>
      <w:r>
        <w:t xml:space="preserve"> </w:t>
      </w:r>
      <w:r>
        <w:t xml:space="preserve">buffer has only 13% of the</w:t>
      </w:r>
      <w:r>
        <w:t xml:space="preserve"> </w:t>
      </w:r>
      <w:r>
        <w:t xml:space="preserve">district’s violent crime and 31%</w:t>
      </w:r>
      <w:r>
        <w:t xml:space="preserve"> </w:t>
      </w:r>
      <w:r>
        <w:t xml:space="preserve">of its property crime: the former mall is a hot spot relative to its</w:t>
      </w:r>
      <w:r>
        <w:t xml:space="preserve"> </w:t>
      </w:r>
      <w:r>
        <w:t xml:space="preserve">immediate surroundings, and scaling up so small a control inflates its noise</w:t>
      </w:r>
      <w:r>
        <w:t xml:space="preserve"> </w:t>
      </w:r>
      <w:r>
        <w:t xml:space="preserve">(standard errors of 21 and</w:t>
      </w:r>
      <w:r>
        <w:t xml:space="preserve"> </w:t>
      </w:r>
      <w:r>
        <w:t xml:space="preserve">28). The city-wide trend fails</w:t>
      </w:r>
      <w:r>
        <w:t xml:space="preserve"> </w:t>
      </w:r>
      <w:r>
        <w:t xml:space="preserve">the pre-period checks for both crime types. Microsynth gives the largest</w:t>
      </w:r>
      <w:r>
        <w:t xml:space="preserve"> </w:t>
      </w:r>
      <w:r>
        <w:t xml:space="preserve">violent crime estimate, +17 (SE 9),</w:t>
      </w:r>
      <w:r>
        <w:t xml:space="preserve"> </w:t>
      </w:r>
      <w:r>
        <w:t xml:space="preserve">with an interval that just excludes zero: its weighted control fell from</w:t>
      </w:r>
      <w:r>
        <w:t xml:space="preserve"> </w:t>
      </w:r>
      <w:r>
        <w:t xml:space="preserve">29 to</w:t>
      </w:r>
      <w:r>
        <w:t xml:space="preserve"> </w:t>
      </w:r>
      <w:r>
        <w:t xml:space="preserve">18 crimes while the</w:t>
      </w:r>
      <w:r>
        <w:t xml:space="preserve"> </w:t>
      </w:r>
      <w:r>
        <w:t xml:space="preserve">contiguous areas rose. Matching every pre-period month exactly, noise</w:t>
      </w:r>
      <w:r>
        <w:t xml:space="preserve"> </w:t>
      </w:r>
      <w:r>
        <w:t xml:space="preserve">included, is what the simulations show produces erratic estimates.</w:t>
      </w:r>
    </w:p>
    <w:bookmarkEnd w:id="53"/>
    <w:bookmarkStart w:id="67" w:name="sec-nyc"/>
    <w:p>
      <w:pPr>
        <w:pStyle w:val="Heading1"/>
      </w:pPr>
      <w:r>
        <w:t xml:space="preserve">6. Case study 2: Operation Restore Roosevelt, Queens</w:t>
      </w:r>
    </w:p>
    <w:p>
      <w:pPr>
        <w:pStyle w:val="FirstParagraph"/>
      </w:pPr>
      <w:r>
        <w:t xml:space="preserve">Operation Restore Roosevelt began on October 15, 2024: a 90-day,</w:t>
      </w:r>
      <w:r>
        <w:t xml:space="preserve"> </w:t>
      </w:r>
      <w:r>
        <w:t xml:space="preserve">multi-agency enforcement push by the New York Police Department, with state</w:t>
      </w:r>
      <w:r>
        <w:t xml:space="preserve"> </w:t>
      </w:r>
      <w:r>
        <w:t xml:space="preserve">troopers, on Roosevelt Avenue from 74th Street to 111th Street in Jackson</w:t>
      </w:r>
      <w:r>
        <w:t xml:space="preserve"> </w:t>
      </w:r>
      <w:r>
        <w:t xml:space="preserve">Heights, Elmhurst, and Corona, Queens, aimed at brothels, illegal street</w:t>
      </w:r>
      <w:r>
        <w:t xml:space="preserve"> </w:t>
      </w:r>
      <w:r>
        <w:t xml:space="preserve">vending, retail theft and the sale of stolen goods, and unlicensed vehicles</w:t>
      </w:r>
      <w:r>
        <w:t xml:space="preserve"> </w:t>
      </w:r>
      <w:r>
        <w:t xml:space="preserve">(</w:t>
      </w:r>
      <w:hyperlink w:anchor="ref-queenseagle2024">
        <w:r>
          <w:rPr>
            <w:rStyle w:val="Hyperlink"/>
          </w:rPr>
          <w:t xml:space="preserve">Queens Daily Eagle 2024</w:t>
        </w:r>
      </w:hyperlink>
      <w:r>
        <w:t xml:space="preserve">;</w:t>
      </w:r>
      <w:r>
        <w:t xml:space="preserve"> </w:t>
      </w:r>
      <w:hyperlink w:anchor="ref-nyc2024roosevelt">
        <w:r>
          <w:rPr>
            <w:rStyle w:val="Hyperlink"/>
          </w:rPr>
          <w:t xml:space="preserve">City of New York, Office of the Mayor 2024</w:t>
        </w:r>
      </w:hyperlink>
      <w:r>
        <w:t xml:space="preserve">)</w:t>
      </w:r>
      <w:r>
        <w:t xml:space="preserve">. The city’s announcement also notes</w:t>
      </w:r>
      <w:r>
        <w:t xml:space="preserve"> </w:t>
      </w:r>
      <w:r>
        <w:t xml:space="preserve">that over the preceding year the police had already been addressing</w:t>
      </w:r>
      <w:r>
        <w:t xml:space="preserve"> </w:t>
      </w:r>
      <w:r>
        <w:t xml:space="preserve">prostitution, unlicensed vending, and retail theft on the corridor</w:t>
      </w:r>
      <w:r>
        <w:t xml:space="preserve"> </w:t>
      </w:r>
      <w:r>
        <w:t xml:space="preserve">(</w:t>
      </w:r>
      <w:hyperlink w:anchor="ref-nyc2024roosevelt">
        <w:r>
          <w:rPr>
            <w:rStyle w:val="Hyperlink"/>
          </w:rPr>
          <w:t xml:space="preserve">City of New York, Office of the Mayor 2024</w:t>
        </w:r>
      </w:hyperlink>
      <w:r>
        <w:t xml:space="preserve">)</w:t>
      </w:r>
      <w:r>
        <w:t xml:space="preserve">, so the operation intensified enforcement that had been</w:t>
      </w:r>
      <w:r>
        <w:t xml:space="preserve"> </w:t>
      </w:r>
      <w:r>
        <w:t xml:space="preserve">building. It was extended after the first 90 days. In January 2025 the</w:t>
      </w:r>
      <w:r>
        <w:t xml:space="preserve"> </w:t>
      </w:r>
      <w:r>
        <w:t xml:space="preserve">police commissioner credited it with a 25% reduction in crime in the area</w:t>
      </w:r>
      <w:r>
        <w:t xml:space="preserve"> </w:t>
      </w:r>
      <w:r>
        <w:t xml:space="preserve">(</w:t>
      </w:r>
      <w:hyperlink w:anchor="ref-qns2025">
        <w:r>
          <w:rPr>
            <w:rStyle w:val="Hyperlink"/>
          </w:rPr>
          <w:t xml:space="preserve">QNS 2025</w:t>
        </w:r>
      </w:hyperlink>
      <w:r>
        <w:t xml:space="preserve">)</w:t>
      </w:r>
      <w:r>
        <w:t xml:space="preserve">.</w:t>
      </w:r>
    </w:p>
    <w:p>
      <w:pPr>
        <w:pStyle w:val="BodyText"/>
      </w:pPr>
      <w:r>
        <w:t xml:space="preserve">I use NYPD complaint records for Queens from the city’s open data portal</w:t>
      </w:r>
      <w:r>
        <w:t xml:space="preserve"> </w:t>
      </w:r>
      <w:r>
        <w:t xml:space="preserve">(the historic file through 2025 and the year-to-date file through June</w:t>
      </w:r>
      <w:r>
        <w:t xml:space="preserve"> </w:t>
      </w:r>
      <w:r>
        <w:t xml:space="preserve">2026). Violent crime is murder, robbery, and felony assault; property crime</w:t>
      </w:r>
      <w:r>
        <w:t xml:space="preserve"> </w:t>
      </w:r>
      <w:r>
        <w:t xml:space="preserve">is burglary, grand and petit larceny, and motor vehicle theft. Complaints</w:t>
      </w:r>
      <w:r>
        <w:t xml:space="preserve"> </w:t>
      </w:r>
      <w:r>
        <w:t xml:space="preserve">are assigned to the 13,926 2020 census blocks with</w:t>
      </w:r>
      <w:r>
        <w:t xml:space="preserve"> </w:t>
      </w:r>
      <w:r>
        <w:t xml:space="preserve">land area in Queens. The treated area is the TIGER centerline of Roosevelt</w:t>
      </w:r>
      <w:r>
        <w:t xml:space="preserve"> </w:t>
      </w:r>
      <w:r>
        <w:t xml:space="preserve">Avenue between the two cross streets, about two miles, buffered by 250 feet</w:t>
      </w:r>
      <w:r>
        <w:t xml:space="preserve"> </w:t>
      </w:r>
      <w:r>
        <w:t xml:space="preserve">to take in the avenue and the buildings fronting it. In the year before the</w:t>
      </w:r>
      <w:r>
        <w:t xml:space="preserve"> </w:t>
      </w:r>
      <w:r>
        <w:t xml:space="preserve">operation it had 462 violent and</w:t>
      </w:r>
      <w:r>
        <w:t xml:space="preserve"> </w:t>
      </w:r>
      <w:r>
        <w:t xml:space="preserve">824 property complaints. Months run from</w:t>
      </w:r>
      <w:r>
        <w:t xml:space="preserve"> </w:t>
      </w:r>
      <w:r>
        <w:t xml:space="preserve">the 15th to the 14th. The search matches the 72 months</w:t>
      </w:r>
      <w:r>
        <w:t xml:space="preserve"> </w:t>
      </w:r>
      <w:r>
        <w:t xml:space="preserve">before the launch (October 15, 2018 to October 14, 2024), blocks within a</w:t>
      </w:r>
      <w:r>
        <w:t xml:space="preserve"> </w:t>
      </w:r>
      <w:r>
        <w:t xml:space="preserve">quarter mile of the corridor are excluded, and the WDD compares the 20</w:t>
      </w:r>
      <w:r>
        <w:t xml:space="preserve"> </w:t>
      </w:r>
      <w:r>
        <w:t xml:space="preserve">months after the launch, through June 14, 2026, with the 20 months before.</w:t>
      </w:r>
    </w:p>
    <w:tbl>
      <w:tblPr>
        <w:tblStyle w:val="Table"/>
        <w:tblW w:type="pct" w:w="5000"/>
        <w:tblLook w:firstRow="0" w:lastRow="0" w:firstColumn="0" w:lastColumn="0" w:noHBand="0" w:noVBand="0" w:val="0000"/>
        <w:jc w:val="start"/>
        <w:tblLayout w:type="fixed"/>
      </w:tblPr>
      <w:tblGrid>
        <w:gridCol w:w="7920"/>
      </w:tblGrid>
      <w:tr>
        <w:tc>
          <w:tcPr/>
          <w:bookmarkStart w:id="57" w:name="fig-nyc-map"/>
          <w:p>
            <w:pPr>
              <w:pStyle w:val="Compact"/>
              <w:jc w:val="center"/>
            </w:pPr>
            <w:r>
              <w:drawing>
                <wp:inline>
                  <wp:extent cx="5334000" cy="5986284"/>
                  <wp:effectExtent b="0" l="0" r="0" t="0"/>
                  <wp:docPr descr="" title="" id="55" name="Picture"/>
                  <a:graphic>
                    <a:graphicData uri="http://schemas.openxmlformats.org/drawingml/2006/picture">
                      <pic:pic>
                        <pic:nvPicPr>
                          <pic:cNvPr descr="paper_files/figure-docx/fig-nyc-map-output-1.png" id="56" name="Picture"/>
                          <pic:cNvPicPr>
                            <a:picLocks noChangeArrowheads="1" noChangeAspect="1"/>
                          </pic:cNvPicPr>
                        </pic:nvPicPr>
                        <pic:blipFill>
                          <a:blip r:embed="rId54"/>
                          <a:stretch>
                            <a:fillRect/>
                          </a:stretch>
                        </pic:blipFill>
                        <pic:spPr bwMode="auto">
                          <a:xfrm>
                            <a:off x="0" y="0"/>
                            <a:ext cx="5334000" cy="5986284"/>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Roosevelt Avenue from 74th to 111th Street (black), its quarter-mile buffer (dashed), and the control areas for violent and property crime: the contiguous control (blue fill) and the pure scan’s network circle (aqua outline). Gray lines are census blocks.</w:t>
            </w:r>
          </w:p>
          <w:bookmarkEnd w:id="57"/>
        </w:tc>
      </w:tr>
    </w:tbl>
    <w:tbl>
      <w:tblPr>
        <w:tblStyle w:val="Table"/>
        <w:tblW w:type="pct" w:w="5000"/>
        <w:tblLook w:firstRow="0" w:lastRow="0" w:firstColumn="0" w:lastColumn="0" w:noHBand="0" w:noVBand="0" w:val="0000"/>
        <w:jc w:val="start"/>
        <w:tblLayout w:type="fixed"/>
      </w:tblPr>
      <w:tblGrid>
        <w:gridCol w:w="7920"/>
      </w:tblGrid>
      <w:tr>
        <w:tc>
          <w:tcPr/>
          <w:bookmarkStart w:id="61" w:name="fig-nyc-series"/>
          <w:p>
            <w:pPr>
              <w:pStyle w:val="Compact"/>
              <w:jc w:val="center"/>
            </w:pPr>
            <w:r>
              <w:drawing>
                <wp:inline>
                  <wp:extent cx="5334000" cy="4108621"/>
                  <wp:effectExtent b="0" l="0" r="0" t="0"/>
                  <wp:docPr descr="" title="" id="59" name="Picture"/>
                  <a:graphic>
                    <a:graphicData uri="http://schemas.openxmlformats.org/drawingml/2006/picture">
                      <pic:pic>
                        <pic:nvPicPr>
                          <pic:cNvPr descr="paper_files/figure-docx/fig-nyc-series-output-1.png" id="60" name="Picture"/>
                          <pic:cNvPicPr>
                            <a:picLocks noChangeArrowheads="1" noChangeAspect="1"/>
                          </pic:cNvPicPr>
                        </pic:nvPicPr>
                        <pic:blipFill>
                          <a:blip r:embed="rId58"/>
                          <a:stretch>
                            <a:fillRect/>
                          </a:stretch>
                        </pic:blipFill>
                        <pic:spPr bwMode="auto">
                          <a:xfrm>
                            <a:off x="0" y="0"/>
                            <a:ext cx="5334000" cy="4108621"/>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Monthly crime on the Roosevelt Avenue corridor, its contiguous control area, and the microsynth control. Thin lines are monthly counts, thick lines three-month moving averages computed separately before and after October 15, 2024 (dotted line).</w:t>
            </w:r>
          </w:p>
          <w:bookmarkEnd w:id="61"/>
        </w:tc>
      </w:tr>
    </w:tbl>
    <w:tbl>
      <w:tblPr>
        <w:tblStyle w:val="Table"/>
        <w:tblW w:type="pct" w:w="5000"/>
        <w:tblLook w:firstRow="0" w:lastRow="0" w:firstColumn="0" w:lastColumn="0" w:noHBand="0" w:noVBand="0" w:val="0000"/>
        <w:jc w:val="start"/>
        <w:tblLayout w:type="fixed"/>
      </w:tblPr>
      <w:tblGrid>
        <w:gridCol w:w="7920"/>
      </w:tblGrid>
      <w:tr>
        <w:tc>
          <w:tcPr/>
          <w:bookmarkStart w:id="62" w:name="tbl-nyc"/>
          <w:p>
            <w:pPr>
              <w:jc w:val="center"/>
            </w:pPr>
            <w:pPr>
              <w:jc w:val="start"/>
              <w:spacing w:before="200"/>
              <w:pStyle w:val="ImageCaption"/>
            </w:pPr>
            <w:r>
              <w:t xml:space="preserve">Table 3: WDD estimates for Operation Restore Roosevelt, the 20 months after October 15, 2024 against the 20 months before. Columns as in</w:t>
            </w:r>
            <w:r>
              <w:t xml:space="preserve"> </w:t>
            </w:r>
            <w:hyperlink w:anchor="tbl-dallas">
              <w:r>
                <w:rPr>
                  <w:rStyle w:val="Hyperlink"/>
                </w:rPr>
                <w:t xml:space="preserve">Table 2</w:t>
              </w:r>
            </w:hyperlink>
            <w:r>
              <w:t xml:space="preserve">; the borough-wide control is every candidate block in Queens.</w:t>
            </w:r>
          </w:p>
          <w:tbl>
            <w:tblPr>
              <w:tblStyle w:val="Table"/>
              <w:tblW w:type="pct" w:w="5000"/>
              <w:tblLook w:firstRow="1" w:lastRow="0" w:firstColumn="0" w:lastColumn="0" w:noHBand="0" w:noVBand="0" w:val="0020"/>
              <w:jc w:val="start"/>
              <w:tblLayout w:type="fixed"/>
            </w:tblPr>
            <w:tblGrid>
              <w:gridCol w:w="842"/>
              <w:gridCol w:w="1011"/>
              <w:gridCol w:w="842"/>
              <w:gridCol w:w="589"/>
              <w:gridCol w:w="1095"/>
              <w:gridCol w:w="674"/>
              <w:gridCol w:w="674"/>
              <w:gridCol w:w="1011"/>
              <w:gridCol w:w="1179"/>
            </w:tblGrid>
            <w:tr>
              <w:trPr>
                <w:tblHeader w:val="true"/>
              </w:trPr>
              <w:tc>
                <w:tcPr/>
                <w:p>
                  <w:pPr>
                    <w:pStyle w:val="Compact"/>
                    <w:jc w:val="left"/>
                    <w:jc w:val="center"/>
                  </w:pPr>
                  <w:r>
                    <w:t xml:space="preserve">Crime</w:t>
                  </w:r>
                </w:p>
              </w:tc>
              <w:tc>
                <w:tcPr/>
                <w:p>
                  <w:pPr>
                    <w:pStyle w:val="Compact"/>
                    <w:jc w:val="left"/>
                    <w:jc w:val="center"/>
                  </w:pPr>
                  <w:r>
                    <w:t xml:space="preserve">Control</w:t>
                  </w:r>
                </w:p>
              </w:tc>
              <w:tc>
                <w:tcPr/>
                <w:p>
                  <w:pPr>
                    <w:pStyle w:val="Compact"/>
                    <w:jc w:val="right"/>
                    <w:jc w:val="center"/>
                  </w:pPr>
                  <w:r>
                    <w:t xml:space="preserve">Blocks</w:t>
                  </w:r>
                </w:p>
              </w:tc>
              <w:tc>
                <w:tcPr/>
                <w:p>
                  <w:pPr>
                    <w:pStyle w:val="Compact"/>
                    <w:jc w:val="right"/>
                    <w:jc w:val="center"/>
                  </w:pPr>
                  <w:r>
                    <w:t xml:space="preserve">k</w:t>
                  </w:r>
                </w:p>
              </w:tc>
              <w:tc>
                <w:tcPr/>
                <w:p>
                  <w:pPr>
                    <w:pStyle w:val="Compact"/>
                    <w:jc w:val="right"/>
                    <w:jc w:val="center"/>
                  </w:pPr>
                  <w:r>
                    <w:t xml:space="preserve">Violation</w:t>
                  </w:r>
                </w:p>
              </w:tc>
              <w:tc>
                <w:tcPr/>
                <w:p>
                  <w:pPr>
                    <w:pStyle w:val="Compact"/>
                    <w:jc w:val="right"/>
                    <w:jc w:val="center"/>
                  </w:pPr>
                  <w:r>
                    <w:t xml:space="preserve">C0</w:t>
                  </w:r>
                </w:p>
              </w:tc>
              <w:tc>
                <w:tcPr/>
                <w:p>
                  <w:pPr>
                    <w:pStyle w:val="Compact"/>
                    <w:jc w:val="right"/>
                    <w:jc w:val="center"/>
                  </w:pPr>
                  <w:r>
                    <w:t xml:space="preserve">C1</w:t>
                  </w:r>
                </w:p>
              </w:tc>
              <w:tc>
                <w:tcPr/>
                <w:p>
                  <w:pPr>
                    <w:pStyle w:val="Compact"/>
                    <w:jc w:val="right"/>
                    <w:jc w:val="center"/>
                  </w:pPr>
                  <w:r>
                    <w:t xml:space="preserve">WDD (SE)</w:t>
                  </w:r>
                </w:p>
              </w:tc>
              <w:tc>
                <w:tcPr/>
                <w:p>
                  <w:pPr>
                    <w:pStyle w:val="Compact"/>
                    <w:jc w:val="right"/>
                    <w:jc w:val="center"/>
                  </w:pPr>
                  <w:r>
                    <w:t xml:space="preserve">95% CI</w:t>
                  </w:r>
                </w:p>
              </w:tc>
            </w:tr>
            <w:tr>
              <w:tc>
                <w:tcPr/>
                <w:p>
                  <w:pPr>
                    <w:pStyle w:val="Compact"/>
                    <w:jc w:val="left"/>
                    <w:jc w:val="center"/>
                  </w:pPr>
                  <w:r>
                    <w:t xml:space="preserve">Violent</w:t>
                  </w:r>
                </w:p>
              </w:tc>
              <w:tc>
                <w:tcPr/>
                <w:p>
                  <w:pPr>
                    <w:pStyle w:val="Compact"/>
                    <w:jc w:val="left"/>
                    <w:jc w:val="center"/>
                  </w:pPr>
                  <w:r>
                    <w:t xml:space="preserve">Contiguous</w:t>
                  </w:r>
                </w:p>
              </w:tc>
              <w:tc>
                <w:tcPr/>
                <w:p>
                  <w:pPr>
                    <w:pStyle w:val="Compact"/>
                    <w:jc w:val="right"/>
                    <w:jc w:val="center"/>
                  </w:pPr>
                  <w:r>
                    <w:t xml:space="preserve">180</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695</w:t>
                  </w:r>
                </w:p>
              </w:tc>
              <w:tc>
                <w:tcPr/>
                <w:p>
                  <w:pPr>
                    <w:pStyle w:val="Compact"/>
                    <w:jc w:val="right"/>
                    <w:jc w:val="center"/>
                  </w:pPr>
                  <w:r>
                    <w:t xml:space="preserve">596</w:t>
                  </w:r>
                </w:p>
              </w:tc>
              <w:tc>
                <w:tcPr/>
                <w:p>
                  <w:pPr>
                    <w:pStyle w:val="Compact"/>
                    <w:jc w:val="right"/>
                    <w:jc w:val="center"/>
                  </w:pPr>
                  <w:r>
                    <w:t xml:space="preserve">-79 (50)</w:t>
                  </w:r>
                </w:p>
              </w:tc>
              <w:tc>
                <w:tcPr/>
                <w:p>
                  <w:pPr>
                    <w:pStyle w:val="Compact"/>
                    <w:jc w:val="right"/>
                    <w:jc w:val="center"/>
                  </w:pPr>
                  <w:r>
                    <w:t xml:space="preserve">-178 to 20</w:t>
                  </w:r>
                </w:p>
              </w:tc>
            </w:tr>
            <w:tr>
              <w:tc>
                <w:tcPr/>
                <w:p>
                  <w:pPr>
                    <w:pStyle w:val="Compact"/>
                    <w:jc w:val="left"/>
                    <w:jc w:val="center"/>
                  </w:pPr>
                  <w:r>
                    <w:t xml:space="preserve">Violent</w:t>
                  </w:r>
                </w:p>
              </w:tc>
              <w:tc>
                <w:tcPr/>
                <w:p>
                  <w:pPr>
                    <w:pStyle w:val="Compact"/>
                    <w:jc w:val="left"/>
                    <w:jc w:val="center"/>
                  </w:pPr>
                  <w:r>
                    <w:t xml:space="preserve">Scan</w:t>
                  </w:r>
                </w:p>
              </w:tc>
              <w:tc>
                <w:tcPr/>
                <w:p>
                  <w:pPr>
                    <w:pStyle w:val="Compact"/>
                    <w:jc w:val="right"/>
                    <w:jc w:val="center"/>
                  </w:pPr>
                  <w:r>
                    <w:t xml:space="preserve">375</w:t>
                  </w:r>
                </w:p>
              </w:tc>
              <w:tc>
                <w:tcPr/>
                <w:p>
                  <w:pPr>
                    <w:pStyle w:val="Compact"/>
                    <w:jc w:val="right"/>
                    <w:jc w:val="center"/>
                  </w:pPr>
                  <w:r>
                    <w:t xml:space="preserve">1.00</w:t>
                  </w:r>
                </w:p>
              </w:tc>
              <w:tc>
                <w:tcPr/>
                <w:p>
                  <w:pPr>
                    <w:pStyle w:val="Compact"/>
                    <w:jc w:val="right"/>
                    <w:jc w:val="center"/>
                  </w:pPr>
                  <w:r>
                    <w:t xml:space="preserve">1.21</w:t>
                  </w:r>
                </w:p>
              </w:tc>
              <w:tc>
                <w:tcPr/>
                <w:p>
                  <w:pPr>
                    <w:pStyle w:val="Compact"/>
                    <w:jc w:val="right"/>
                    <w:jc w:val="center"/>
                  </w:pPr>
                  <w:r>
                    <w:t xml:space="preserve">688</w:t>
                  </w:r>
                </w:p>
              </w:tc>
              <w:tc>
                <w:tcPr/>
                <w:p>
                  <w:pPr>
                    <w:pStyle w:val="Compact"/>
                    <w:jc w:val="right"/>
                    <w:jc w:val="center"/>
                  </w:pPr>
                  <w:r>
                    <w:t xml:space="preserve">629</w:t>
                  </w:r>
                </w:p>
              </w:tc>
              <w:tc>
                <w:tcPr/>
                <w:p>
                  <w:pPr>
                    <w:pStyle w:val="Compact"/>
                    <w:jc w:val="right"/>
                    <w:jc w:val="center"/>
                  </w:pPr>
                  <w:r>
                    <w:t xml:space="preserve">-119 (51)</w:t>
                  </w:r>
                </w:p>
              </w:tc>
              <w:tc>
                <w:tcPr/>
                <w:p>
                  <w:pPr>
                    <w:pStyle w:val="Compact"/>
                    <w:jc w:val="right"/>
                    <w:jc w:val="center"/>
                  </w:pPr>
                  <w:r>
                    <w:t xml:space="preserve">-218 to -20</w:t>
                  </w:r>
                </w:p>
              </w:tc>
            </w:tr>
            <w:tr>
              <w:tc>
                <w:tcPr/>
                <w:p>
                  <w:pPr>
                    <w:pStyle w:val="Compact"/>
                    <w:jc w:val="left"/>
                    <w:jc w:val="center"/>
                  </w:pPr>
                  <w:r>
                    <w:t xml:space="preserve">Violent</w:t>
                  </w:r>
                </w:p>
              </w:tc>
              <w:tc>
                <w:tcPr/>
                <w:p>
                  <w:pPr>
                    <w:pStyle w:val="Compact"/>
                    <w:jc w:val="left"/>
                    <w:jc w:val="center"/>
                  </w:pPr>
                  <w:r>
                    <w:t xml:space="preserve">Best fit</w:t>
                  </w:r>
                </w:p>
              </w:tc>
              <w:tc>
                <w:tcPr/>
                <w:p>
                  <w:pPr>
                    <w:pStyle w:val="Compact"/>
                    <w:jc w:val="right"/>
                    <w:jc w:val="center"/>
                  </w:pPr>
                  <w:r>
                    <w:t xml:space="preserve">381</w:t>
                  </w:r>
                </w:p>
              </w:tc>
              <w:tc>
                <w:tcPr/>
                <w:p>
                  <w:pPr>
                    <w:pStyle w:val="Compact"/>
                    <w:jc w:val="right"/>
                    <w:jc w:val="center"/>
                  </w:pPr>
                  <w:r>
                    <w:t xml:space="preserve">1.00</w:t>
                  </w:r>
                </w:p>
              </w:tc>
              <w:tc>
                <w:tcPr/>
                <w:p>
                  <w:pPr>
                    <w:pStyle w:val="Compact"/>
                    <w:jc w:val="right"/>
                    <w:jc w:val="center"/>
                  </w:pPr>
                  <w:r>
                    <w:t xml:space="preserve">2.65</w:t>
                  </w:r>
                </w:p>
              </w:tc>
              <w:tc>
                <w:tcPr/>
                <w:p>
                  <w:pPr>
                    <w:pStyle w:val="Compact"/>
                    <w:jc w:val="right"/>
                    <w:jc w:val="center"/>
                  </w:pPr>
                  <w:r>
                    <w:t xml:space="preserve">737</w:t>
                  </w:r>
                </w:p>
              </w:tc>
              <w:tc>
                <w:tcPr/>
                <w:p>
                  <w:pPr>
                    <w:pStyle w:val="Compact"/>
                    <w:jc w:val="right"/>
                    <w:jc w:val="center"/>
                  </w:pPr>
                  <w:r>
                    <w:t xml:space="preserve">693</w:t>
                  </w:r>
                </w:p>
              </w:tc>
              <w:tc>
                <w:tcPr/>
                <w:p>
                  <w:pPr>
                    <w:pStyle w:val="Compact"/>
                    <w:jc w:val="right"/>
                    <w:jc w:val="center"/>
                  </w:pPr>
                  <w:r>
                    <w:t xml:space="preserve">-134 (52)</w:t>
                  </w:r>
                </w:p>
              </w:tc>
              <w:tc>
                <w:tcPr/>
                <w:p>
                  <w:pPr>
                    <w:pStyle w:val="Compact"/>
                    <w:jc w:val="right"/>
                    <w:jc w:val="center"/>
                  </w:pPr>
                  <w:r>
                    <w:t xml:space="preserve">-236 to -32</w:t>
                  </w:r>
                </w:p>
              </w:tc>
            </w:tr>
            <w:tr>
              <w:tc>
                <w:tcPr/>
                <w:p>
                  <w:pPr>
                    <w:pStyle w:val="Compact"/>
                    <w:jc w:val="left"/>
                    <w:jc w:val="center"/>
                  </w:pPr>
                  <w:r>
                    <w:t xml:space="preserve">Violent</w:t>
                  </w:r>
                </w:p>
              </w:tc>
              <w:tc>
                <w:tcPr/>
                <w:p>
                  <w:pPr>
                    <w:pStyle w:val="Compact"/>
                    <w:jc w:val="left"/>
                    <w:jc w:val="center"/>
                  </w:pPr>
                  <w:r>
                    <w:t xml:space="preserve">Ring</w:t>
                  </w:r>
                </w:p>
              </w:tc>
              <w:tc>
                <w:tcPr/>
                <w:p>
                  <w:pPr>
                    <w:pStyle w:val="Compact"/>
                    <w:jc w:val="right"/>
                    <w:jc w:val="center"/>
                  </w:pPr>
                  <w:r>
                    <w:t xml:space="preserve">248</w:t>
                  </w:r>
                </w:p>
              </w:tc>
              <w:tc>
                <w:tcPr/>
                <w:p>
                  <w:pPr>
                    <w:pStyle w:val="Compact"/>
                    <w:jc w:val="right"/>
                    <w:jc w:val="center"/>
                  </w:pPr>
                  <w:r>
                    <w:t xml:space="preserve">1.19</w:t>
                  </w:r>
                </w:p>
              </w:tc>
              <w:tc>
                <w:tcPr/>
                <w:p>
                  <w:pPr>
                    <w:pStyle w:val="Compact"/>
                    <w:jc w:val="right"/>
                    <w:jc w:val="center"/>
                  </w:pPr>
                  <w:r>
                    <w:t xml:space="preserve">3.79</w:t>
                  </w:r>
                </w:p>
              </w:tc>
              <w:tc>
                <w:tcPr/>
                <w:p>
                  <w:pPr>
                    <w:pStyle w:val="Compact"/>
                    <w:jc w:val="right"/>
                    <w:jc w:val="center"/>
                  </w:pPr>
                  <w:r>
                    <w:t xml:space="preserve">725</w:t>
                  </w:r>
                </w:p>
              </w:tc>
              <w:tc>
                <w:tcPr/>
                <w:p>
                  <w:pPr>
                    <w:pStyle w:val="Compact"/>
                    <w:jc w:val="right"/>
                    <w:jc w:val="center"/>
                  </w:pPr>
                  <w:r>
                    <w:t xml:space="preserve">552</w:t>
                  </w:r>
                </w:p>
              </w:tc>
              <w:tc>
                <w:tcPr/>
                <w:p>
                  <w:pPr>
                    <w:pStyle w:val="Compact"/>
                    <w:jc w:val="right"/>
                    <w:jc w:val="center"/>
                  </w:pPr>
                  <w:r>
                    <w:t xml:space="preserve">-33 (46)</w:t>
                  </w:r>
                </w:p>
              </w:tc>
              <w:tc>
                <w:tcPr/>
                <w:p>
                  <w:pPr>
                    <w:pStyle w:val="Compact"/>
                    <w:jc w:val="right"/>
                    <w:jc w:val="center"/>
                  </w:pPr>
                  <w:r>
                    <w:t xml:space="preserve">-124 to 58</w:t>
                  </w:r>
                </w:p>
              </w:tc>
            </w:tr>
            <w:tr>
              <w:tc>
                <w:tcPr/>
                <w:p>
                  <w:pPr>
                    <w:pStyle w:val="Compact"/>
                    <w:jc w:val="left"/>
                    <w:jc w:val="center"/>
                  </w:pPr>
                  <w:r>
                    <w:t xml:space="preserve">Violent</w:t>
                  </w:r>
                </w:p>
              </w:tc>
              <w:tc>
                <w:tcPr/>
                <w:p>
                  <w:pPr>
                    <w:pStyle w:val="Compact"/>
                    <w:jc w:val="left"/>
                    <w:jc w:val="center"/>
                  </w:pPr>
                  <w:r>
                    <w:t xml:space="preserve">Queens</w:t>
                  </w:r>
                </w:p>
              </w:tc>
              <w:tc>
                <w:tcPr/>
                <w:p>
                  <w:pPr>
                    <w:pStyle w:val="Compact"/>
                    <w:jc w:val="right"/>
                    <w:jc w:val="center"/>
                  </w:pPr>
                  <w:r>
                    <w:t xml:space="preserve">13,595</w:t>
                  </w:r>
                </w:p>
              </w:tc>
              <w:tc>
                <w:tcPr/>
                <w:p>
                  <w:pPr>
                    <w:pStyle w:val="Compact"/>
                    <w:jc w:val="right"/>
                    <w:jc w:val="center"/>
                  </w:pPr>
                  <w:r>
                    <w:t xml:space="preserve">27.24</w:t>
                  </w:r>
                </w:p>
              </w:tc>
              <w:tc>
                <w:tcPr/>
                <w:p>
                  <w:pPr>
                    <w:pStyle w:val="Compact"/>
                    <w:jc w:val="right"/>
                    <w:jc w:val="center"/>
                  </w:pPr>
                  <w:r>
                    <w:t xml:space="preserve">6.35</w:t>
                  </w:r>
                </w:p>
              </w:tc>
              <w:tc>
                <w:tcPr/>
                <w:p>
                  <w:pPr>
                    <w:pStyle w:val="Compact"/>
                    <w:jc w:val="right"/>
                    <w:jc w:val="center"/>
                  </w:pPr>
                  <w:r>
                    <w:t xml:space="preserve">13,989</w:t>
                  </w:r>
                </w:p>
              </w:tc>
              <w:tc>
                <w:tcPr/>
                <w:p>
                  <w:pPr>
                    <w:pStyle w:val="Compact"/>
                    <w:jc w:val="right"/>
                    <w:jc w:val="center"/>
                  </w:pPr>
                  <w:r>
                    <w:t xml:space="preserve">12,879</w:t>
                  </w:r>
                </w:p>
              </w:tc>
              <w:tc>
                <w:tcPr/>
                <w:p>
                  <w:pPr>
                    <w:pStyle w:val="Compact"/>
                    <w:jc w:val="right"/>
                    <w:jc w:val="center"/>
                  </w:pPr>
                  <w:r>
                    <w:t xml:space="preserve">-137 (36)</w:t>
                  </w:r>
                </w:p>
              </w:tc>
              <w:tc>
                <w:tcPr/>
                <w:p>
                  <w:pPr>
                    <w:pStyle w:val="Compact"/>
                    <w:jc w:val="right"/>
                    <w:jc w:val="center"/>
                  </w:pPr>
                  <w:r>
                    <w:t xml:space="preserve">-208 to -67</w:t>
                  </w:r>
                </w:p>
              </w:tc>
            </w:tr>
            <w:tr>
              <w:tc>
                <w:tcPr/>
                <w:p>
                  <w:pPr>
                    <w:pStyle w:val="Compact"/>
                    <w:jc w:val="left"/>
                    <w:jc w:val="center"/>
                  </w:pPr>
                  <w:r>
                    <w:t xml:space="preserve">Violent</w:t>
                  </w:r>
                </w:p>
              </w:tc>
              <w:tc>
                <w:tcPr/>
                <w:p>
                  <w:pPr>
                    <w:pStyle w:val="Compact"/>
                    <w:jc w:val="left"/>
                    <w:jc w:val="center"/>
                  </w:pPr>
                  <w:r>
                    <w:t xml:space="preserve">Microsynth</w:t>
                  </w:r>
                </w:p>
              </w:tc>
              <w:tc>
                <w:tcPr/>
                <w:p>
                  <w:pPr>
                    <w:pStyle w:val="Compact"/>
                    <w:jc w:val="right"/>
                    <w:jc w:val="center"/>
                  </w:pPr>
                  <w:r>
                    <w:t xml:space="preserve">12,195</w:t>
                  </w:r>
                </w:p>
              </w:tc>
              <w:tc>
                <w:tcPr/>
                <w:p>
                  <w:pPr>
                    <w:pStyle w:val="Compact"/>
                    <w:jc w:val="right"/>
                    <w:jc w:val="center"/>
                  </w:pPr>
                  <w:r>
                    <w:t xml:space="preserve">1.00</w:t>
                  </w:r>
                </w:p>
              </w:tc>
              <w:tc>
                <w:tcPr/>
                <w:p>
                  <w:pPr>
                    <w:pStyle w:val="Compact"/>
                    <w:jc w:val="right"/>
                    <w:jc w:val="center"/>
                  </w:pPr>
                  <w:r>
                    <w:t xml:space="preserve">0.00</w:t>
                  </w:r>
                </w:p>
              </w:tc>
              <w:tc>
                <w:tcPr/>
                <w:p>
                  <w:pPr>
                    <w:pStyle w:val="Compact"/>
                    <w:jc w:val="right"/>
                    <w:jc w:val="center"/>
                  </w:pPr>
                  <w:r>
                    <w:t xml:space="preserve">718</w:t>
                  </w:r>
                </w:p>
              </w:tc>
              <w:tc>
                <w:tcPr/>
                <w:p>
                  <w:pPr>
                    <w:pStyle w:val="Compact"/>
                    <w:jc w:val="right"/>
                    <w:jc w:val="center"/>
                  </w:pPr>
                  <w:r>
                    <w:t xml:space="preserve">412</w:t>
                  </w:r>
                </w:p>
              </w:tc>
              <w:tc>
                <w:tcPr/>
                <w:p>
                  <w:pPr>
                    <w:pStyle w:val="Compact"/>
                    <w:jc w:val="right"/>
                    <w:jc w:val="center"/>
                  </w:pPr>
                  <w:r>
                    <w:t xml:space="preserve">+128 (45)</w:t>
                  </w:r>
                </w:p>
              </w:tc>
              <w:tc>
                <w:tcPr/>
                <w:p>
                  <w:pPr>
                    <w:pStyle w:val="Compact"/>
                    <w:jc w:val="right"/>
                    <w:jc w:val="center"/>
                  </w:pPr>
                  <w:r>
                    <w:t xml:space="preserve">40 to 217</w:t>
                  </w:r>
                </w:p>
              </w:tc>
            </w:tr>
            <w:tr>
              <w:tc>
                <w:tcPr/>
                <w:p>
                  <w:pPr>
                    <w:pStyle w:val="Compact"/>
                    <w:jc w:val="left"/>
                    <w:jc w:val="center"/>
                  </w:pPr>
                  <w:r>
                    <w:t xml:space="preserve">Property</w:t>
                  </w:r>
                </w:p>
              </w:tc>
              <w:tc>
                <w:tcPr/>
                <w:p>
                  <w:pPr>
                    <w:pStyle w:val="Compact"/>
                    <w:jc w:val="left"/>
                    <w:jc w:val="center"/>
                  </w:pPr>
                  <w:r>
                    <w:t xml:space="preserve">Contiguous</w:t>
                  </w:r>
                </w:p>
              </w:tc>
              <w:tc>
                <w:tcPr/>
                <w:p>
                  <w:pPr>
                    <w:pStyle w:val="Compact"/>
                    <w:jc w:val="right"/>
                    <w:jc w:val="center"/>
                  </w:pPr>
                  <w:r>
                    <w:t xml:space="preserve">88</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1,352</w:t>
                  </w:r>
                </w:p>
              </w:tc>
              <w:tc>
                <w:tcPr/>
                <w:p>
                  <w:pPr>
                    <w:pStyle w:val="Compact"/>
                    <w:jc w:val="right"/>
                    <w:jc w:val="center"/>
                  </w:pPr>
                  <w:r>
                    <w:t xml:space="preserve">902</w:t>
                  </w:r>
                </w:p>
              </w:tc>
              <w:tc>
                <w:tcPr/>
                <w:p>
                  <w:pPr>
                    <w:pStyle w:val="Compact"/>
                    <w:jc w:val="right"/>
                    <w:jc w:val="center"/>
                  </w:pPr>
                  <w:r>
                    <w:t xml:space="preserve">+100 (69)</w:t>
                  </w:r>
                </w:p>
              </w:tc>
              <w:tc>
                <w:tcPr/>
                <w:p>
                  <w:pPr>
                    <w:pStyle w:val="Compact"/>
                    <w:jc w:val="right"/>
                    <w:jc w:val="center"/>
                  </w:pPr>
                  <w:r>
                    <w:t xml:space="preserve">-35 to 235</w:t>
                  </w:r>
                </w:p>
              </w:tc>
            </w:tr>
            <w:tr>
              <w:tc>
                <w:tcPr/>
                <w:p>
                  <w:pPr>
                    <w:pStyle w:val="Compact"/>
                    <w:jc w:val="left"/>
                    <w:jc w:val="center"/>
                  </w:pPr>
                  <w:r>
                    <w:t xml:space="preserve">Property</w:t>
                  </w:r>
                </w:p>
              </w:tc>
              <w:tc>
                <w:tcPr/>
                <w:p>
                  <w:pPr>
                    <w:pStyle w:val="Compact"/>
                    <w:jc w:val="left"/>
                    <w:jc w:val="center"/>
                  </w:pPr>
                  <w:r>
                    <w:t xml:space="preserve">Scan</w:t>
                  </w:r>
                </w:p>
              </w:tc>
              <w:tc>
                <w:tcPr/>
                <w:p>
                  <w:pPr>
                    <w:pStyle w:val="Compact"/>
                    <w:jc w:val="right"/>
                    <w:jc w:val="center"/>
                  </w:pPr>
                  <w:r>
                    <w:t xml:space="preserve">171</w:t>
                  </w:r>
                </w:p>
              </w:tc>
              <w:tc>
                <w:tcPr/>
                <w:p>
                  <w:pPr>
                    <w:pStyle w:val="Compact"/>
                    <w:jc w:val="right"/>
                    <w:jc w:val="center"/>
                  </w:pPr>
                  <w:r>
                    <w:t xml:space="preserve">1.00</w:t>
                  </w:r>
                </w:p>
              </w:tc>
              <w:tc>
                <w:tcPr/>
                <w:p>
                  <w:pPr>
                    <w:pStyle w:val="Compact"/>
                    <w:jc w:val="right"/>
                    <w:jc w:val="center"/>
                  </w:pPr>
                  <w:r>
                    <w:t xml:space="preserve">2.31</w:t>
                  </w:r>
                </w:p>
              </w:tc>
              <w:tc>
                <w:tcPr/>
                <w:p>
                  <w:pPr>
                    <w:pStyle w:val="Compact"/>
                    <w:jc w:val="right"/>
                    <w:jc w:val="center"/>
                  </w:pPr>
                  <w:r>
                    <w:t xml:space="preserve">1,433</w:t>
                  </w:r>
                </w:p>
              </w:tc>
              <w:tc>
                <w:tcPr/>
                <w:p>
                  <w:pPr>
                    <w:pStyle w:val="Compact"/>
                    <w:jc w:val="right"/>
                    <w:jc w:val="center"/>
                  </w:pPr>
                  <w:r>
                    <w:t xml:space="preserve">1,513</w:t>
                  </w:r>
                </w:p>
              </w:tc>
              <w:tc>
                <w:tcPr/>
                <w:p>
                  <w:pPr>
                    <w:pStyle w:val="Compact"/>
                    <w:jc w:val="right"/>
                    <w:jc w:val="center"/>
                  </w:pPr>
                  <w:r>
                    <w:t xml:space="preserve">-430 (74)</w:t>
                  </w:r>
                </w:p>
              </w:tc>
              <w:tc>
                <w:tcPr/>
                <w:p>
                  <w:pPr>
                    <w:pStyle w:val="Compact"/>
                    <w:jc w:val="right"/>
                    <w:jc w:val="center"/>
                  </w:pPr>
                  <w:r>
                    <w:t xml:space="preserve">-575 to -285</w:t>
                  </w:r>
                </w:p>
              </w:tc>
            </w:tr>
            <w:tr>
              <w:tc>
                <w:tcPr/>
                <w:p>
                  <w:pPr>
                    <w:pStyle w:val="Compact"/>
                    <w:jc w:val="left"/>
                    <w:jc w:val="center"/>
                  </w:pPr>
                  <w:r>
                    <w:t xml:space="preserve">Property</w:t>
                  </w:r>
                </w:p>
              </w:tc>
              <w:tc>
                <w:tcPr/>
                <w:p>
                  <w:pPr>
                    <w:pStyle w:val="Compact"/>
                    <w:jc w:val="left"/>
                    <w:jc w:val="center"/>
                  </w:pPr>
                  <w:r>
                    <w:t xml:space="preserve">Best fit</w:t>
                  </w:r>
                </w:p>
              </w:tc>
              <w:tc>
                <w:tcPr/>
                <w:p>
                  <w:pPr>
                    <w:pStyle w:val="Compact"/>
                    <w:jc w:val="right"/>
                    <w:jc w:val="center"/>
                  </w:pPr>
                  <w:r>
                    <w:t xml:space="preserve">230</w:t>
                  </w:r>
                </w:p>
              </w:tc>
              <w:tc>
                <w:tcPr/>
                <w:p>
                  <w:pPr>
                    <w:pStyle w:val="Compact"/>
                    <w:jc w:val="right"/>
                    <w:jc w:val="center"/>
                  </w:pPr>
                  <w:r>
                    <w:t xml:space="preserve">1.00</w:t>
                  </w:r>
                </w:p>
              </w:tc>
              <w:tc>
                <w:tcPr/>
                <w:p>
                  <w:pPr>
                    <w:pStyle w:val="Compact"/>
                    <w:jc w:val="right"/>
                    <w:jc w:val="center"/>
                  </w:pPr>
                  <w:r>
                    <w:t xml:space="preserve">2.45</w:t>
                  </w:r>
                </w:p>
              </w:tc>
              <w:tc>
                <w:tcPr/>
                <w:p>
                  <w:pPr>
                    <w:pStyle w:val="Compact"/>
                    <w:jc w:val="right"/>
                    <w:jc w:val="center"/>
                  </w:pPr>
                  <w:r>
                    <w:t xml:space="preserve">1,388</w:t>
                  </w:r>
                </w:p>
              </w:tc>
              <w:tc>
                <w:tcPr/>
                <w:p>
                  <w:pPr>
                    <w:pStyle w:val="Compact"/>
                    <w:jc w:val="right"/>
                    <w:jc w:val="center"/>
                  </w:pPr>
                  <w:r>
                    <w:t xml:space="preserve">893</w:t>
                  </w:r>
                </w:p>
              </w:tc>
              <w:tc>
                <w:tcPr/>
                <w:p>
                  <w:pPr>
                    <w:pStyle w:val="Compact"/>
                    <w:jc w:val="right"/>
                    <w:jc w:val="center"/>
                  </w:pPr>
                  <w:r>
                    <w:t xml:space="preserve">+145 (69)</w:t>
                  </w:r>
                </w:p>
              </w:tc>
              <w:tc>
                <w:tcPr/>
                <w:p>
                  <w:pPr>
                    <w:pStyle w:val="Compact"/>
                    <w:jc w:val="right"/>
                    <w:jc w:val="center"/>
                  </w:pPr>
                  <w:r>
                    <w:t xml:space="preserve">10 to 280</w:t>
                  </w:r>
                </w:p>
              </w:tc>
            </w:tr>
            <w:tr>
              <w:tc>
                <w:tcPr/>
                <w:p>
                  <w:pPr>
                    <w:pStyle w:val="Compact"/>
                    <w:jc w:val="left"/>
                    <w:jc w:val="center"/>
                  </w:pPr>
                  <w:r>
                    <w:t xml:space="preserve">Property</w:t>
                  </w:r>
                </w:p>
              </w:tc>
              <w:tc>
                <w:tcPr/>
                <w:p>
                  <w:pPr>
                    <w:pStyle w:val="Compact"/>
                    <w:jc w:val="left"/>
                    <w:jc w:val="center"/>
                  </w:pPr>
                  <w:r>
                    <w:t xml:space="preserve">Ring</w:t>
                  </w:r>
                </w:p>
              </w:tc>
              <w:tc>
                <w:tcPr/>
                <w:p>
                  <w:pPr>
                    <w:pStyle w:val="Compact"/>
                    <w:jc w:val="right"/>
                    <w:jc w:val="center"/>
                  </w:pPr>
                  <w:r>
                    <w:t xml:space="preserve">247</w:t>
                  </w:r>
                </w:p>
              </w:tc>
              <w:tc>
                <w:tcPr/>
                <w:p>
                  <w:pPr>
                    <w:pStyle w:val="Compact"/>
                    <w:jc w:val="right"/>
                    <w:jc w:val="center"/>
                  </w:pPr>
                  <w:r>
                    <w:t xml:space="preserve">1.45</w:t>
                  </w:r>
                </w:p>
              </w:tc>
              <w:tc>
                <w:tcPr/>
                <w:p>
                  <w:pPr>
                    <w:pStyle w:val="Compact"/>
                    <w:jc w:val="right"/>
                    <w:jc w:val="center"/>
                  </w:pPr>
                  <w:r>
                    <w:t xml:space="preserve">8.91</w:t>
                  </w:r>
                </w:p>
              </w:tc>
              <w:tc>
                <w:tcPr/>
                <w:p>
                  <w:pPr>
                    <w:pStyle w:val="Compact"/>
                    <w:jc w:val="right"/>
                    <w:jc w:val="center"/>
                  </w:pPr>
                  <w:r>
                    <w:t xml:space="preserve">1,659</w:t>
                  </w:r>
                </w:p>
              </w:tc>
              <w:tc>
                <w:tcPr/>
                <w:p>
                  <w:pPr>
                    <w:pStyle w:val="Compact"/>
                    <w:jc w:val="right"/>
                    <w:jc w:val="center"/>
                  </w:pPr>
                  <w:r>
                    <w:t xml:space="preserve">1,320</w:t>
                  </w:r>
                </w:p>
              </w:tc>
              <w:tc>
                <w:tcPr/>
                <w:p>
                  <w:pPr>
                    <w:pStyle w:val="Compact"/>
                    <w:jc w:val="right"/>
                    <w:jc w:val="center"/>
                  </w:pPr>
                  <w:r>
                    <w:t xml:space="preserve">-116 (63)</w:t>
                  </w:r>
                </w:p>
              </w:tc>
              <w:tc>
                <w:tcPr/>
                <w:p>
                  <w:pPr>
                    <w:pStyle w:val="Compact"/>
                    <w:jc w:val="right"/>
                    <w:jc w:val="center"/>
                  </w:pPr>
                  <w:r>
                    <w:t xml:space="preserve">-238 to 7</w:t>
                  </w:r>
                </w:p>
              </w:tc>
            </w:tr>
            <w:tr>
              <w:tc>
                <w:tcPr/>
                <w:p>
                  <w:pPr>
                    <w:pStyle w:val="Compact"/>
                    <w:jc w:val="left"/>
                    <w:jc w:val="center"/>
                  </w:pPr>
                  <w:r>
                    <w:t xml:space="preserve">Property</w:t>
                  </w:r>
                </w:p>
              </w:tc>
              <w:tc>
                <w:tcPr/>
                <w:p>
                  <w:pPr>
                    <w:pStyle w:val="Compact"/>
                    <w:jc w:val="left"/>
                    <w:jc w:val="center"/>
                  </w:pPr>
                  <w:r>
                    <w:t xml:space="preserve">Queens</w:t>
                  </w:r>
                </w:p>
              </w:tc>
              <w:tc>
                <w:tcPr/>
                <w:p>
                  <w:pPr>
                    <w:pStyle w:val="Compact"/>
                    <w:jc w:val="right"/>
                    <w:jc w:val="center"/>
                  </w:pPr>
                  <w:r>
                    <w:t xml:space="preserve">13,582</w:t>
                  </w:r>
                </w:p>
              </w:tc>
              <w:tc>
                <w:tcPr/>
                <w:p>
                  <w:pPr>
                    <w:pStyle w:val="Compact"/>
                    <w:jc w:val="right"/>
                    <w:jc w:val="center"/>
                  </w:pPr>
                  <w:r>
                    <w:t xml:space="preserve">48.98</w:t>
                  </w:r>
                </w:p>
              </w:tc>
              <w:tc>
                <w:tcPr/>
                <w:p>
                  <w:pPr>
                    <w:pStyle w:val="Compact"/>
                    <w:jc w:val="right"/>
                    <w:jc w:val="center"/>
                  </w:pPr>
                  <w:r>
                    <w:t xml:space="preserve">8.17</w:t>
                  </w:r>
                </w:p>
              </w:tc>
              <w:tc>
                <w:tcPr/>
                <w:p>
                  <w:pPr>
                    <w:pStyle w:val="Compact"/>
                    <w:jc w:val="right"/>
                    <w:jc w:val="center"/>
                  </w:pPr>
                  <w:r>
                    <w:t xml:space="preserve">57,332</w:t>
                  </w:r>
                </w:p>
              </w:tc>
              <w:tc>
                <w:tcPr/>
                <w:p>
                  <w:pPr>
                    <w:pStyle w:val="Compact"/>
                    <w:jc w:val="right"/>
                    <w:jc w:val="center"/>
                  </w:pPr>
                  <w:r>
                    <w:t xml:space="preserve">55,164</w:t>
                  </w:r>
                </w:p>
              </w:tc>
              <w:tc>
                <w:tcPr/>
                <w:p>
                  <w:pPr>
                    <w:pStyle w:val="Compact"/>
                    <w:jc w:val="right"/>
                    <w:jc w:val="center"/>
                  </w:pPr>
                  <w:r>
                    <w:t xml:space="preserve">-306 (50)</w:t>
                  </w:r>
                </w:p>
              </w:tc>
              <w:tc>
                <w:tcPr/>
                <w:p>
                  <w:pPr>
                    <w:pStyle w:val="Compact"/>
                    <w:jc w:val="right"/>
                    <w:jc w:val="center"/>
                  </w:pPr>
                  <w:r>
                    <w:t xml:space="preserve">-405 to -207</w:t>
                  </w:r>
                </w:p>
              </w:tc>
            </w:tr>
            <w:tr>
              <w:tc>
                <w:tcPr/>
                <w:p>
                  <w:pPr>
                    <w:pStyle w:val="Compact"/>
                    <w:jc w:val="left"/>
                    <w:jc w:val="center"/>
                  </w:pPr>
                  <w:r>
                    <w:t xml:space="preserve">Property</w:t>
                  </w:r>
                </w:p>
              </w:tc>
              <w:tc>
                <w:tcPr/>
                <w:p>
                  <w:pPr>
                    <w:pStyle w:val="Compact"/>
                    <w:jc w:val="left"/>
                    <w:jc w:val="center"/>
                  </w:pPr>
                  <w:r>
                    <w:t xml:space="preserve">Microsynth</w:t>
                  </w:r>
                </w:p>
              </w:tc>
              <w:tc>
                <w:tcPr/>
                <w:p>
                  <w:pPr>
                    <w:pStyle w:val="Compact"/>
                    <w:jc w:val="right"/>
                    <w:jc w:val="center"/>
                  </w:pPr>
                  <w:r>
                    <w:t xml:space="preserve">9,796</w:t>
                  </w:r>
                </w:p>
              </w:tc>
              <w:tc>
                <w:tcPr/>
                <w:p>
                  <w:pPr>
                    <w:pStyle w:val="Compact"/>
                    <w:jc w:val="right"/>
                    <w:jc w:val="center"/>
                  </w:pPr>
                  <w:r>
                    <w:t xml:space="preserve">1.00</w:t>
                  </w:r>
                </w:p>
              </w:tc>
              <w:tc>
                <w:tcPr/>
                <w:p>
                  <w:pPr>
                    <w:pStyle w:val="Compact"/>
                    <w:jc w:val="right"/>
                    <w:jc w:val="center"/>
                  </w:pPr>
                  <w:r>
                    <w:t xml:space="preserve">0.00</w:t>
                  </w:r>
                </w:p>
              </w:tc>
              <w:tc>
                <w:tcPr/>
                <w:p>
                  <w:pPr>
                    <w:pStyle w:val="Compact"/>
                    <w:jc w:val="right"/>
                    <w:jc w:val="center"/>
                  </w:pPr>
                  <w:r>
                    <w:t xml:space="preserve">1,423</w:t>
                  </w:r>
                </w:p>
              </w:tc>
              <w:tc>
                <w:tcPr/>
                <w:p>
                  <w:pPr>
                    <w:pStyle w:val="Compact"/>
                    <w:jc w:val="right"/>
                    <w:jc w:val="center"/>
                  </w:pPr>
                  <w:r>
                    <w:t xml:space="preserve">895</w:t>
                  </w:r>
                </w:p>
              </w:tc>
              <w:tc>
                <w:tcPr/>
                <w:p>
                  <w:pPr>
                    <w:pStyle w:val="Compact"/>
                    <w:jc w:val="right"/>
                    <w:jc w:val="center"/>
                  </w:pPr>
                  <w:r>
                    <w:t xml:space="preserve">+178 (58)</w:t>
                  </w:r>
                </w:p>
              </w:tc>
              <w:tc>
                <w:tcPr/>
                <w:p>
                  <w:pPr>
                    <w:pStyle w:val="Compact"/>
                    <w:jc w:val="right"/>
                    <w:jc w:val="center"/>
                  </w:pPr>
                  <w:r>
                    <w:t xml:space="preserve">63 to 293</w:t>
                  </w:r>
                </w:p>
              </w:tc>
            </w:tr>
          </w:tbl>
          <w:bookmarkEnd w:id="62"/>
          <w:p/>
        </w:tc>
      </w:tr>
    </w:tbl>
    <w:tbl>
      <w:tblPr>
        <w:tblStyle w:val="Table"/>
        <w:tblW w:type="pct" w:w="5000"/>
        <w:tblLook w:firstRow="0" w:lastRow="0" w:firstColumn="0" w:lastColumn="0" w:noHBand="0" w:noVBand="0" w:val="0000"/>
        <w:jc w:val="start"/>
        <w:tblLayout w:type="fixed"/>
      </w:tblPr>
      <w:tblGrid>
        <w:gridCol w:w="7920"/>
      </w:tblGrid>
      <w:tr>
        <w:tc>
          <w:tcPr/>
          <w:bookmarkStart w:id="66" w:name="fig-nyc-cumulative"/>
          <w:p>
            <w:pPr>
              <w:pStyle w:val="Compact"/>
              <w:jc w:val="center"/>
            </w:pPr>
            <w:r>
              <w:drawing>
                <wp:inline>
                  <wp:extent cx="5334000" cy="2450756"/>
                  <wp:effectExtent b="0" l="0" r="0" t="0"/>
                  <wp:docPr descr="" title="" id="64" name="Picture"/>
                  <a:graphic>
                    <a:graphicData uri="http://schemas.openxmlformats.org/drawingml/2006/picture">
                      <pic:pic>
                        <pic:nvPicPr>
                          <pic:cNvPr descr="paper_files/figure-docx/fig-nyc-cumulative-output-1.png" id="65" name="Picture"/>
                          <pic:cNvPicPr>
                            <a:picLocks noChangeArrowheads="1" noChangeAspect="1"/>
                          </pic:cNvPicPr>
                        </pic:nvPicPr>
                        <pic:blipFill>
                          <a:blip r:embed="rId63"/>
                          <a:stretch>
                            <a:fillRect/>
                          </a:stretch>
                        </pic:blipFill>
                        <pic:spPr bwMode="auto">
                          <a:xfrm>
                            <a:off x="0" y="0"/>
                            <a:ext cx="5334000" cy="2450756"/>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Running WDD estimate of crimes prevented (negative) or added (positive) on the Roosevelt Avenue corridor relative to its contiguous control area, by month since the operation began. The shaded band is the 95% confidence interval of the estimate. The baseline is the 20 months before the operation.</w:t>
            </w:r>
          </w:p>
          <w:bookmarkEnd w:id="66"/>
        </w:tc>
      </w:tr>
    </w:tbl>
    <w:p>
      <w:pPr>
        <w:pStyle w:val="BodyText"/>
      </w:pPr>
      <w:r>
        <w:t xml:space="preserve">The violent crime control area is</w:t>
      </w:r>
      <w:r>
        <w:t xml:space="preserve"> </w:t>
      </w:r>
      <w:r>
        <w:t xml:space="preserve">180 blocks in Corona</w:t>
      </w:r>
      <w:r>
        <w:t xml:space="preserve"> </w:t>
      </w:r>
      <w:r>
        <w:t xml:space="preserve">and Elmhurst, just south of the corridor and its buffer, including part of</w:t>
      </w:r>
      <w:r>
        <w:t xml:space="preserve"> </w:t>
      </w:r>
      <w:r>
        <w:t xml:space="preserve">Flushing Meadows Corona Park (</w:t>
      </w:r>
      <w:hyperlink w:anchor="fig-nyc-map">
        <w:r>
          <w:rPr>
            <w:rStyle w:val="Hyperlink"/>
          </w:rPr>
          <w:t xml:space="preserve">Figure 5</w:t>
        </w:r>
      </w:hyperlink>
      <w:r>
        <w:t xml:space="preserve">; the white areas inside the park</w:t>
      </w:r>
      <w:r>
        <w:t xml:space="preserve"> </w:t>
      </w:r>
      <w:r>
        <w:t xml:space="preserve">are lakes, which have no census blocks). The property crime control is</w:t>
      </w:r>
      <w:r>
        <w:t xml:space="preserve"> </w:t>
      </w:r>
      <w:r>
        <w:t xml:space="preserve">88 blocks around</w:t>
      </w:r>
      <w:r>
        <w:t xml:space="preserve"> </w:t>
      </w:r>
      <w:r>
        <w:t xml:space="preserve">Ozone Park and Richmond Hill in southern Queens,</w:t>
      </w:r>
      <w:r>
        <w:t xml:space="preserve"> </w:t>
      </w:r>
      <w:r>
        <w:t xml:space="preserve">4.2 miles away;</w:t>
      </w:r>
      <w:r>
        <w:t xml:space="preserve"> </w:t>
      </w:r>
      <w:r>
        <w:t xml:space="preserve">13 blocks were excluded from</w:t>
      </w:r>
      <w:r>
        <w:t xml:space="preserve"> </w:t>
      </w:r>
      <w:r>
        <w:t xml:space="preserve">every method’s pool by the single-place cap. The scan’s network circles are</w:t>
      </w:r>
      <w:r>
        <w:t xml:space="preserve"> </w:t>
      </w:r>
      <w:r>
        <w:t xml:space="preserve">larger and, for property crime, in a different part of the borough. The</w:t>
      </w:r>
      <w:r>
        <w:t xml:space="preserve"> </w:t>
      </w:r>
      <w:r>
        <w:t xml:space="preserve">monthly series are more variable than Poisson (estimated dispersion</w:t>
      </w:r>
      <w:r>
        <w:t xml:space="preserve"> </w:t>
      </w:r>
      <w:r>
        <w:t xml:space="preserve">1.52 for violent and</w:t>
      </w:r>
      <w:r>
        <w:t xml:space="preserve"> </w:t>
      </w:r>
      <w:r>
        <w:t xml:space="preserve">1.70 for property crime), and the</w:t>
      </w:r>
      <w:r>
        <w:t xml:space="preserve"> </w:t>
      </w:r>
      <w:r>
        <w:t xml:space="preserve">searches took 3.1 and</w:t>
      </w:r>
      <w:r>
        <w:t xml:space="preserve"> </w:t>
      </w:r>
      <w:r>
        <w:t xml:space="preserve">4.0 minutes.</w:t>
      </w:r>
    </w:p>
    <w:p>
      <w:pPr>
        <w:pStyle w:val="BodyText"/>
      </w:pPr>
      <w:hyperlink w:anchor="fig-nyc-series">
        <w:r>
          <w:rPr>
            <w:rStyle w:val="Hyperlink"/>
          </w:rPr>
          <w:t xml:space="preserve">Figure 6</w:t>
        </w:r>
      </w:hyperlink>
      <w:r>
        <w:t xml:space="preserve"> </w:t>
      </w:r>
      <w:r>
        <w:t xml:space="preserve">shows why a matched control matters here. Violent crime on</w:t>
      </w:r>
      <w:r>
        <w:t xml:space="preserve"> </w:t>
      </w:r>
      <w:r>
        <w:t xml:space="preserve">the corridor tripled over the matching period, from</w:t>
      </w:r>
      <w:r>
        <w:t xml:space="preserve"> </w:t>
      </w:r>
      <w:r>
        <w:t xml:space="preserve">146 complaints in its first year to</w:t>
      </w:r>
      <w:r>
        <w:t xml:space="preserve"> </w:t>
      </w:r>
      <w:r>
        <w:t xml:space="preserve">462 in the year before the operation, and its</w:t>
      </w:r>
      <w:r>
        <w:t xml:space="preserve"> </w:t>
      </w:r>
      <w:r>
        <w:t xml:space="preserve">contiguous control followed the same rise. Property crime surged in 2021 and</w:t>
      </w:r>
      <w:r>
        <w:t xml:space="preserve"> </w:t>
      </w:r>
      <w:r>
        <w:t xml:space="preserve">2022, and its control follows that too. The timing around the launch</w:t>
      </w:r>
      <w:r>
        <w:t xml:space="preserve"> </w:t>
      </w:r>
      <w:r>
        <w:t xml:space="preserve">differs by crime type. Violent crime on the corridor peaked in the month</w:t>
      </w:r>
      <w:r>
        <w:t xml:space="preserve"> </w:t>
      </w:r>
      <w:r>
        <w:t xml:space="preserve">starting June 15, 2024 (64 complaints) and</w:t>
      </w:r>
      <w:r>
        <w:t xml:space="preserve"> </w:t>
      </w:r>
      <w:r>
        <w:t xml:space="preserve">had already fallen to 37 in the month before the</w:t>
      </w:r>
      <w:r>
        <w:t xml:space="preserve"> </w:t>
      </w:r>
      <w:r>
        <w:t xml:space="preserve">operation, consistent with the enforcement the city says was already under</w:t>
      </w:r>
      <w:r>
        <w:t xml:space="preserve"> </w:t>
      </w:r>
      <w:r>
        <w:t xml:space="preserve">way. Property crime fell right after the launch, from</w:t>
      </w:r>
      <w:r>
        <w:t xml:space="preserve"> </w:t>
      </w:r>
      <w:r>
        <w:t xml:space="preserve">75 complaints in the month before to</w:t>
      </w:r>
      <w:r>
        <w:t xml:space="preserve"> </w:t>
      </w:r>
      <w:r>
        <w:t xml:space="preserve">54 and 39 in the first two months.</w:t>
      </w:r>
      <w:r>
        <w:t xml:space="preserve"> </w:t>
      </w:r>
      <w:r>
        <w:t xml:space="preserve">(The moving averages are computed separately on each side of the launch, so</w:t>
      </w:r>
      <w:r>
        <w:t xml:space="preserve"> </w:t>
      </w:r>
      <w:r>
        <w:t xml:space="preserve">the averages just before it still include the summer peak.)</w:t>
      </w:r>
    </w:p>
    <w:p>
      <w:pPr>
        <w:pStyle w:val="BodyText"/>
      </w:pPr>
      <w:hyperlink w:anchor="tbl-nyc">
        <w:r>
          <w:rPr>
            <w:rStyle w:val="Hyperlink"/>
          </w:rPr>
          <w:t xml:space="preserve">Table 3</w:t>
        </w:r>
      </w:hyperlink>
      <w:r>
        <w:t xml:space="preserve"> </w:t>
      </w:r>
      <w:r>
        <w:t xml:space="preserve">gives the estimates over the 20 months after the launch. Against</w:t>
      </w:r>
      <w:r>
        <w:t xml:space="preserve"> </w:t>
      </w:r>
      <w:r>
        <w:t xml:space="preserve">its contiguous control, the WDD for violent crime is</w:t>
      </w:r>
      <w:r>
        <w:t xml:space="preserve"> </w:t>
      </w:r>
      <w:r>
        <w:t xml:space="preserve">-79 (SE 50), a</w:t>
      </w:r>
      <w:r>
        <w:t xml:space="preserve"> </w:t>
      </w:r>
      <w:r>
        <w:t xml:space="preserve">13% reduction, and for</w:t>
      </w:r>
      <w:r>
        <w:t xml:space="preserve"> </w:t>
      </w:r>
      <w:r>
        <w:t xml:space="preserve">property crime +100 (SE 69); both</w:t>
      </w:r>
      <w:r>
        <w:t xml:space="preserve"> </w:t>
      </w:r>
      <w:r>
        <w:t xml:space="preserve">intervals include zero, and inflating the standard errors for</w:t>
      </w:r>
      <w:r>
        <w:t xml:space="preserve"> </w:t>
      </w:r>
      <w:r>
        <w:t xml:space="preserve">overdispersion by</w:t>
      </w:r>
      <w:r>
        <w:t xml:space="preserve"> </w:t>
      </w:r>
      <m:oMath>
        <m:rad>
          <m:radPr>
            <m:degHide m:val="on"/>
          </m:radPr>
          <m:deg/>
          <m:e>
            <m:r>
              <m:t>ϕ</m:t>
            </m:r>
          </m:e>
        </m:rad>
      </m:oMath>
      <w:r>
        <w:t xml:space="preserve"> </w:t>
      </w:r>
      <w:r>
        <w:t xml:space="preserve">only widens them. The Queens-wide</w:t>
      </w:r>
      <w:r>
        <w:t xml:space="preserve"> </w:t>
      </w:r>
      <w:r>
        <w:t xml:space="preserve">comparison, the closest analogue of the city’s claim, gives reductions of</w:t>
      </w:r>
      <w:r>
        <w:t xml:space="preserve"> </w:t>
      </w:r>
      <w:r>
        <w:t xml:space="preserve">20% and</w:t>
      </w:r>
      <w:r>
        <w:t xml:space="preserve"> </w:t>
      </w:r>
      <w:r>
        <w:t xml:space="preserve">22%, but it fails the</w:t>
      </w:r>
      <w:r>
        <w:t xml:space="preserve"> </w:t>
      </w:r>
      <w:r>
        <w:t xml:space="preserve">pre-period checks: the corridor’s crime rose much faster than the</w:t>
      </w:r>
      <w:r>
        <w:t xml:space="preserve"> </w:t>
      </w:r>
      <w:r>
        <w:t xml:space="preserve">borough’s before the operation. Microsynth again stands apart, with</w:t>
      </w:r>
      <w:r>
        <w:t xml:space="preserve"> </w:t>
      </w:r>
      <w:r>
        <w:t xml:space="preserve">estimated</w:t>
      </w:r>
      <w:r>
        <w:t xml:space="preserve"> </w:t>
      </w:r>
      <w:r>
        <w:rPr>
          <w:iCs/>
          <w:i/>
        </w:rPr>
        <w:t xml:space="preserve">increases</w:t>
      </w:r>
      <w:r>
        <w:t xml:space="preserve"> </w:t>
      </w:r>
      <w:r>
        <w:t xml:space="preserve">of +128 (SE 45)</w:t>
      </w:r>
      <w:r>
        <w:t xml:space="preserve"> </w:t>
      </w:r>
      <w:r>
        <w:t xml:space="preserve">and +178 (SE 58); its weighted</w:t>
      </w:r>
      <w:r>
        <w:t xml:space="preserve"> </w:t>
      </w:r>
      <w:r>
        <w:t xml:space="preserve">violent crime control fell</w:t>
      </w:r>
      <w:r>
        <w:t xml:space="preserve"> </w:t>
      </w:r>
      <w:r>
        <w:t xml:space="preserve">43%</w:t>
      </w:r>
      <w:r>
        <w:t xml:space="preserve"> </w:t>
      </w:r>
      <w:r>
        <w:t xml:space="preserve">after the launch, against</w:t>
      </w:r>
      <w:r>
        <w:t xml:space="preserve"> </w:t>
      </w:r>
      <w:r>
        <w:t xml:space="preserve">8%</w:t>
      </w:r>
      <w:r>
        <w:t xml:space="preserve"> </w:t>
      </w:r>
      <w:r>
        <w:t xml:space="preserve">for Queens as a whole.</w:t>
      </w:r>
    </w:p>
    <w:p>
      <w:pPr>
        <w:pStyle w:val="BodyText"/>
      </w:pPr>
      <w:hyperlink w:anchor="fig-nyc-cumulative">
        <w:r>
          <w:rPr>
            <w:rStyle w:val="Hyperlink"/>
          </w:rPr>
          <w:t xml:space="preserve">Figure 7</w:t>
        </w:r>
      </w:hyperlink>
      <w:r>
        <w:t xml:space="preserve"> </w:t>
      </w:r>
      <w:r>
        <w:t xml:space="preserve">turns the comparison into the running tally an analyst</w:t>
      </w:r>
      <w:r>
        <w:t xml:space="preserve"> </w:t>
      </w:r>
      <w:r>
        <w:t xml:space="preserve">would bring to CompStat meetings, and it shows what a single 20-month</w:t>
      </w:r>
      <w:r>
        <w:t xml:space="preserve"> </w:t>
      </w:r>
      <w:r>
        <w:t xml:space="preserve">number hides. Against the contiguous control, property crime on the corridor</w:t>
      </w:r>
      <w:r>
        <w:t xml:space="preserve"> </w:t>
      </w:r>
      <w:r>
        <w:t xml:space="preserve">fell from the first month: the tally reached</w:t>
      </w:r>
      <w:r>
        <w:t xml:space="preserve"> </w:t>
      </w:r>
      <w:r>
        <w:t xml:space="preserve">-150 crimes by month 7, and</w:t>
      </w:r>
      <w:r>
        <w:t xml:space="preserve"> </w:t>
      </w:r>
      <w:r>
        <w:t xml:space="preserve">its interval excluded zero through month 9,</w:t>
      </w:r>
      <w:r>
        <w:t xml:space="preserve"> </w:t>
      </w:r>
      <w:r>
        <w:t xml:space="preserve">roughly the operation’s initial 90-day surge and the months after it. Then</w:t>
      </w:r>
      <w:r>
        <w:t xml:space="preserve"> </w:t>
      </w:r>
      <w:r>
        <w:t xml:space="preserve">the corridor’s property crime climbed back while the control’s kept falling,</w:t>
      </w:r>
      <w:r>
        <w:t xml:space="preserve"> </w:t>
      </w:r>
      <w:r>
        <w:t xml:space="preserve">and the tally ends at +100 after 20 months. The</w:t>
      </w:r>
      <w:r>
        <w:t xml:space="preserve"> </w:t>
      </w:r>
      <w:r>
        <w:t xml:space="preserve">violent crime tally stays near zero for more than a year and then drifts</w:t>
      </w:r>
      <w:r>
        <w:t xml:space="preserve"> </w:t>
      </w:r>
      <w:r>
        <w:t xml:space="preserve">down to -79, with an interval that includes</w:t>
      </w:r>
      <w:r>
        <w:t xml:space="preserve"> </w:t>
      </w:r>
      <w:r>
        <w:t xml:space="preserve">zero throughout.</w:t>
      </w:r>
    </w:p>
    <w:p>
      <w:pPr>
        <w:pStyle w:val="BodyText"/>
      </w:pPr>
      <w:r>
        <w:rPr>
          <w:iCs/>
          <w:i/>
        </w:rPr>
        <w:t xml:space="preserve">The single-place cap.</w:t>
      </w:r>
      <w:r>
        <w:t xml:space="preserve"> </w:t>
      </w:r>
      <w:r>
        <w:t xml:space="preserve">Without the cap, the nearest passing area for</w:t>
      </w:r>
      <w:r>
        <w:t xml:space="preserve"> </w:t>
      </w:r>
      <w:r>
        <w:t xml:space="preserve">property crime is a different, smaller set of</w:t>
      </w:r>
      <w:r>
        <w:t xml:space="preserve"> </w:t>
      </w:r>
      <w:r>
        <w:t xml:space="preserve">30 blocks, three of which</w:t>
      </w:r>
      <w:r>
        <w:t xml:space="preserve"> </w:t>
      </w:r>
      <w:r>
        <w:t xml:space="preserve">hold 71% of its</w:t>
      </w:r>
      <w:r>
        <w:t xml:space="preserve"> </w:t>
      </w:r>
      <w:r>
        <w:t xml:space="preserve">property complaints in the two years before the launch, all at chain or</w:t>
      </w:r>
      <w:r>
        <w:t xml:space="preserve"> </w:t>
      </w:r>
      <w:r>
        <w:t xml:space="preserve">department stores. Complaints at one of them went from</w:t>
      </w:r>
      <w:r>
        <w:t xml:space="preserve"> </w:t>
      </w:r>
      <w:r>
        <w:t xml:space="preserve">314</w:t>
      </w:r>
      <w:r>
        <w:t xml:space="preserve"> </w:t>
      </w:r>
      <w:r>
        <w:t xml:space="preserve">in the two years before to</w:t>
      </w:r>
      <w:r>
        <w:t xml:space="preserve"> </w:t>
      </w:r>
      <w:r>
        <w:t xml:space="preserve">30</w:t>
      </w:r>
      <w:r>
        <w:t xml:space="preserve"> </w:t>
      </w:r>
      <w:r>
        <w:t xml:space="preserve">in the 20 months after, the kind of change a store closure or a change in</w:t>
      </w:r>
      <w:r>
        <w:t xml:space="preserve"> </w:t>
      </w:r>
      <w:r>
        <w:t xml:space="preserve">how a store reports shoplifting produces. That control gives a WDD of</w:t>
      </w:r>
      <w:r>
        <w:t xml:space="preserve"> </w:t>
      </w:r>
      <w:r>
        <w:t xml:space="preserve">-6. The map of the control</w:t>
      </w:r>
      <w:r>
        <w:t xml:space="preserve"> </w:t>
      </w:r>
      <w:r>
        <w:t xml:space="preserve">area makes such a problem visible; a weight vector over thousands of blocks</w:t>
      </w:r>
      <w:r>
        <w:t xml:space="preserve"> </w:t>
      </w:r>
      <w:r>
        <w:t xml:space="preserve">does not.</w:t>
      </w:r>
    </w:p>
    <w:bookmarkEnd w:id="67"/>
    <w:bookmarkStart w:id="69" w:name="sec-alt"/>
    <w:p>
      <w:pPr>
        <w:pStyle w:val="Heading1"/>
      </w:pPr>
      <w:r>
        <w:t xml:space="preserve">7. How much does the choice of control area matter?</w:t>
      </w:r>
    </w:p>
    <w:tbl>
      <w:tblPr>
        <w:tblStyle w:val="Table"/>
        <w:tblW w:type="pct" w:w="5000"/>
        <w:tblLook w:firstRow="0" w:lastRow="0" w:firstColumn="0" w:lastColumn="0" w:noHBand="0" w:noVBand="0" w:val="0000"/>
        <w:jc w:val="start"/>
        <w:tblLayout w:type="fixed"/>
      </w:tblPr>
      <w:tblGrid>
        <w:gridCol w:w="7920"/>
      </w:tblGrid>
      <w:tr>
        <w:tc>
          <w:tcPr/>
          <w:bookmarkStart w:id="68" w:name="tbl-alt"/>
          <w:p>
            <w:pPr>
              <w:jc w:val="center"/>
            </w:pPr>
            <w:pPr>
              <w:jc w:val="start"/>
              <w:spacing w:before="200"/>
              <w:pStyle w:val="ImageCaption"/>
            </w:pPr>
            <w:r>
              <w:t xml:space="preserve">Table 4: The best five distinct control areas from each search (sharing at most half their blocks), in the order the search ranks them: areas that pass all four pre-period checks first, nearest the treated area first, then the rest by violation. Violation is the largest ratio of a pre-period gap summary to its threshold (at most 1 passes). Distance is from the treated area to the control’s nearest block.</w:t>
            </w:r>
          </w:p>
          <w:tbl>
            <w:tblPr>
              <w:tblStyle w:val="Table"/>
              <w:tblW w:type="pct" w:w="5000"/>
              <w:tblLook w:firstRow="1" w:lastRow="0" w:firstColumn="0" w:lastColumn="0" w:noHBand="0" w:noVBand="0" w:val="0020"/>
              <w:jc w:val="start"/>
              <w:tblLayout w:type="fixed"/>
            </w:tblPr>
            <w:tblGrid>
              <w:gridCol w:w="898"/>
              <w:gridCol w:w="816"/>
              <w:gridCol w:w="653"/>
              <w:gridCol w:w="1061"/>
              <w:gridCol w:w="1388"/>
              <w:gridCol w:w="1306"/>
              <w:gridCol w:w="816"/>
              <w:gridCol w:w="979"/>
            </w:tblGrid>
            <w:tr>
              <w:trPr>
                <w:tblHeader w:val="true"/>
              </w:trPr>
              <w:tc>
                <w:tcPr/>
                <w:p>
                  <w:pPr>
                    <w:pStyle w:val="Compact"/>
                    <w:jc w:val="left"/>
                    <w:jc w:val="center"/>
                  </w:pPr>
                  <w:r>
                    <w:t xml:space="preserve">Case</w:t>
                  </w:r>
                </w:p>
              </w:tc>
              <w:tc>
                <w:tcPr/>
                <w:p>
                  <w:pPr>
                    <w:pStyle w:val="Compact"/>
                    <w:jc w:val="left"/>
                    <w:jc w:val="center"/>
                  </w:pPr>
                  <w:r>
                    <w:t xml:space="preserve">Crime</w:t>
                  </w:r>
                </w:p>
              </w:tc>
              <w:tc>
                <w:tcPr/>
                <w:p>
                  <w:pPr>
                    <w:pStyle w:val="Compact"/>
                    <w:jc w:val="right"/>
                    <w:jc w:val="center"/>
                  </w:pPr>
                  <w:r>
                    <w:t xml:space="preserve">Rank</w:t>
                  </w:r>
                </w:p>
              </w:tc>
              <w:tc>
                <w:tcPr/>
                <w:p>
                  <w:pPr>
                    <w:pStyle w:val="Compact"/>
                    <w:jc w:val="right"/>
                    <w:jc w:val="center"/>
                  </w:pPr>
                  <w:r>
                    <w:t xml:space="preserve">Violation</w:t>
                  </w:r>
                </w:p>
              </w:tc>
              <w:tc>
                <w:tcPr/>
                <w:p>
                  <w:pPr>
                    <w:pStyle w:val="Compact"/>
                    <w:jc w:val="right"/>
                    <w:jc w:val="center"/>
                  </w:pPr>
                  <w:r>
                    <w:t xml:space="preserve">Distance (mi)</w:t>
                  </w:r>
                </w:p>
              </w:tc>
              <w:tc>
                <w:tcPr/>
                <w:p>
                  <w:pPr>
                    <w:pStyle w:val="Compact"/>
                    <w:jc w:val="right"/>
                    <w:jc w:val="center"/>
                  </w:pPr>
                  <w:r>
                    <w:t xml:space="preserve">Area (sq mi)</w:t>
                  </w:r>
                </w:p>
              </w:tc>
              <w:tc>
                <w:tcPr/>
                <w:p>
                  <w:pPr>
                    <w:pStyle w:val="Compact"/>
                    <w:jc w:val="right"/>
                    <w:jc w:val="center"/>
                  </w:pPr>
                  <w:r>
                    <w:t xml:space="preserve">Blocks</w:t>
                  </w:r>
                </w:p>
              </w:tc>
              <w:tc>
                <w:tcPr/>
                <w:p>
                  <w:pPr>
                    <w:pStyle w:val="Compact"/>
                    <w:jc w:val="right"/>
                    <w:jc w:val="center"/>
                  </w:pPr>
                  <w:r>
                    <w:t xml:space="preserve">WDD (SE)</w:t>
                  </w:r>
                </w:p>
              </w:tc>
            </w:tr>
            <w:tr>
              <w:tc>
                <w:tcPr/>
                <w:p>
                  <w:pPr>
                    <w:pStyle w:val="Compact"/>
                    <w:jc w:val="left"/>
                    <w:jc w:val="center"/>
                  </w:pPr>
                  <w:r>
                    <w:t xml:space="preserve">RedBird</w:t>
                  </w:r>
                </w:p>
              </w:tc>
              <w:tc>
                <w:tcPr/>
                <w:p>
                  <w:pPr>
                    <w:pStyle w:val="Compact"/>
                    <w:jc w:val="left"/>
                    <w:jc w:val="center"/>
                  </w:pPr>
                  <w:r>
                    <w:t xml:space="preserve">Violent</w:t>
                  </w:r>
                </w:p>
              </w:tc>
              <w:tc>
                <w:tcPr/>
                <w:p>
                  <w:pPr>
                    <w:pStyle w:val="Compact"/>
                    <w:jc w:val="right"/>
                    <w:jc w:val="center"/>
                  </w:pPr>
                  <w:r>
                    <w:t xml:space="preserve">1</w:t>
                  </w:r>
                </w:p>
              </w:tc>
              <w:tc>
                <w:tcPr/>
                <w:p>
                  <w:pPr>
                    <w:pStyle w:val="Compact"/>
                    <w:jc w:val="right"/>
                    <w:jc w:val="center"/>
                  </w:pPr>
                  <w:r>
                    <w:t xml:space="preserve">1.00</w:t>
                  </w:r>
                </w:p>
              </w:tc>
              <w:tc>
                <w:tcPr/>
                <w:p>
                  <w:pPr>
                    <w:pStyle w:val="Compact"/>
                    <w:jc w:val="right"/>
                    <w:jc w:val="center"/>
                  </w:pPr>
                  <w:r>
                    <w:t xml:space="preserve">0.3</w:t>
                  </w:r>
                </w:p>
              </w:tc>
              <w:tc>
                <w:tcPr/>
                <w:p>
                  <w:pPr>
                    <w:pStyle w:val="Compact"/>
                    <w:jc w:val="right"/>
                    <w:jc w:val="center"/>
                  </w:pPr>
                  <w:r>
                    <w:t xml:space="preserve">2.38</w:t>
                  </w:r>
                </w:p>
              </w:tc>
              <w:tc>
                <w:tcPr/>
                <w:p>
                  <w:pPr>
                    <w:pStyle w:val="Compact"/>
                    <w:jc w:val="right"/>
                    <w:jc w:val="center"/>
                  </w:pPr>
                  <w:r>
                    <w:t xml:space="preserve">73</w:t>
                  </w:r>
                </w:p>
              </w:tc>
              <w:tc>
                <w:tcPr/>
                <w:p>
                  <w:pPr>
                    <w:pStyle w:val="Compact"/>
                    <w:jc w:val="right"/>
                    <w:jc w:val="center"/>
                  </w:pPr>
                  <w:r>
                    <w:t xml:space="preserve">-6 (11)</w:t>
                  </w:r>
                </w:p>
              </w:tc>
            </w:tr>
            <w:tr>
              <w:tc>
                <w:tcPr/>
                <w:p>
                  <w:pPr>
                    <w:pStyle w:val="Compact"/>
                    <w:jc w:val="left"/>
                    <w:jc w:val="center"/>
                  </w:pPr>
                  <w:r>
                    <w:t xml:space="preserve">RedBird</w:t>
                  </w:r>
                </w:p>
              </w:tc>
              <w:tc>
                <w:tcPr/>
                <w:p>
                  <w:pPr>
                    <w:pStyle w:val="Compact"/>
                    <w:jc w:val="left"/>
                    <w:jc w:val="center"/>
                  </w:pPr>
                  <w:r>
                    <w:t xml:space="preserve">Violent</w:t>
                  </w:r>
                </w:p>
              </w:tc>
              <w:tc>
                <w:tcPr/>
                <w:p>
                  <w:pPr>
                    <w:pStyle w:val="Compact"/>
                    <w:jc w:val="right"/>
                    <w:jc w:val="center"/>
                  </w:pPr>
                  <w:r>
                    <w:t xml:space="preserve">2</w:t>
                  </w:r>
                </w:p>
              </w:tc>
              <w:tc>
                <w:tcPr/>
                <w:p>
                  <w:pPr>
                    <w:pStyle w:val="Compact"/>
                    <w:jc w:val="right"/>
                    <w:jc w:val="center"/>
                  </w:pPr>
                  <w:r>
                    <w:t xml:space="preserve">0.95</w:t>
                  </w:r>
                </w:p>
              </w:tc>
              <w:tc>
                <w:tcPr/>
                <w:p>
                  <w:pPr>
                    <w:pStyle w:val="Compact"/>
                    <w:jc w:val="right"/>
                    <w:jc w:val="center"/>
                  </w:pPr>
                  <w:r>
                    <w:t xml:space="preserve">1.9</w:t>
                  </w:r>
                </w:p>
              </w:tc>
              <w:tc>
                <w:tcPr/>
                <w:p>
                  <w:pPr>
                    <w:pStyle w:val="Compact"/>
                    <w:jc w:val="right"/>
                    <w:jc w:val="center"/>
                  </w:pPr>
                  <w:r>
                    <w:t xml:space="preserve">0.90</w:t>
                  </w:r>
                </w:p>
              </w:tc>
              <w:tc>
                <w:tcPr/>
                <w:p>
                  <w:pPr>
                    <w:pStyle w:val="Compact"/>
                    <w:jc w:val="right"/>
                    <w:jc w:val="center"/>
                  </w:pPr>
                  <w:r>
                    <w:t xml:space="preserve">19</w:t>
                  </w:r>
                </w:p>
              </w:tc>
              <w:tc>
                <w:tcPr/>
                <w:p>
                  <w:pPr>
                    <w:pStyle w:val="Compact"/>
                    <w:jc w:val="right"/>
                    <w:jc w:val="center"/>
                  </w:pPr>
                  <w:r>
                    <w:t xml:space="preserve">+17 (10)</w:t>
                  </w:r>
                </w:p>
              </w:tc>
            </w:tr>
            <w:tr>
              <w:tc>
                <w:tcPr/>
                <w:p>
                  <w:pPr>
                    <w:pStyle w:val="Compact"/>
                    <w:jc w:val="left"/>
                    <w:jc w:val="center"/>
                  </w:pPr>
                  <w:r>
                    <w:t xml:space="preserve">RedBird</w:t>
                  </w:r>
                </w:p>
              </w:tc>
              <w:tc>
                <w:tcPr/>
                <w:p>
                  <w:pPr>
                    <w:pStyle w:val="Compact"/>
                    <w:jc w:val="left"/>
                    <w:jc w:val="center"/>
                  </w:pPr>
                  <w:r>
                    <w:t xml:space="preserve">Violent</w:t>
                  </w:r>
                </w:p>
              </w:tc>
              <w:tc>
                <w:tcPr/>
                <w:p>
                  <w:pPr>
                    <w:pStyle w:val="Compact"/>
                    <w:jc w:val="right"/>
                    <w:jc w:val="center"/>
                  </w:pPr>
                  <w:r>
                    <w:t xml:space="preserve">3</w:t>
                  </w:r>
                </w:p>
              </w:tc>
              <w:tc>
                <w:tcPr/>
                <w:p>
                  <w:pPr>
                    <w:pStyle w:val="Compact"/>
                    <w:jc w:val="right"/>
                    <w:jc w:val="center"/>
                  </w:pPr>
                  <w:r>
                    <w:t xml:space="preserve">0.94</w:t>
                  </w:r>
                </w:p>
              </w:tc>
              <w:tc>
                <w:tcPr/>
                <w:p>
                  <w:pPr>
                    <w:pStyle w:val="Compact"/>
                    <w:jc w:val="right"/>
                    <w:jc w:val="center"/>
                  </w:pPr>
                  <w:r>
                    <w:t xml:space="preserve">2.0</w:t>
                  </w:r>
                </w:p>
              </w:tc>
              <w:tc>
                <w:tcPr/>
                <w:p>
                  <w:pPr>
                    <w:pStyle w:val="Compact"/>
                    <w:jc w:val="right"/>
                    <w:jc w:val="center"/>
                  </w:pPr>
                  <w:r>
                    <w:t xml:space="preserve">1.14</w:t>
                  </w:r>
                </w:p>
              </w:tc>
              <w:tc>
                <w:tcPr/>
                <w:p>
                  <w:pPr>
                    <w:pStyle w:val="Compact"/>
                    <w:jc w:val="right"/>
                    <w:jc w:val="center"/>
                  </w:pPr>
                  <w:r>
                    <w:t xml:space="preserve">60</w:t>
                  </w:r>
                </w:p>
              </w:tc>
              <w:tc>
                <w:tcPr/>
                <w:p>
                  <w:pPr>
                    <w:pStyle w:val="Compact"/>
                    <w:jc w:val="right"/>
                    <w:jc w:val="center"/>
                  </w:pPr>
                  <w:r>
                    <w:t xml:space="preserve">+3 (11)</w:t>
                  </w:r>
                </w:p>
              </w:tc>
            </w:tr>
            <w:tr>
              <w:tc>
                <w:tcPr/>
                <w:p>
                  <w:pPr>
                    <w:pStyle w:val="Compact"/>
                    <w:jc w:val="left"/>
                    <w:jc w:val="center"/>
                  </w:pPr>
                  <w:r>
                    <w:t xml:space="preserve">RedBird</w:t>
                  </w:r>
                </w:p>
              </w:tc>
              <w:tc>
                <w:tcPr/>
                <w:p>
                  <w:pPr>
                    <w:pStyle w:val="Compact"/>
                    <w:jc w:val="left"/>
                    <w:jc w:val="center"/>
                  </w:pPr>
                  <w:r>
                    <w:t xml:space="preserve">Violent</w:t>
                  </w:r>
                </w:p>
              </w:tc>
              <w:tc>
                <w:tcPr/>
                <w:p>
                  <w:pPr>
                    <w:pStyle w:val="Compact"/>
                    <w:jc w:val="right"/>
                    <w:jc w:val="center"/>
                  </w:pPr>
                  <w:r>
                    <w:t xml:space="preserve">4</w:t>
                  </w:r>
                </w:p>
              </w:tc>
              <w:tc>
                <w:tcPr/>
                <w:p>
                  <w:pPr>
                    <w:pStyle w:val="Compact"/>
                    <w:jc w:val="right"/>
                    <w:jc w:val="center"/>
                  </w:pPr>
                  <w:r>
                    <w:t xml:space="preserve">1.00</w:t>
                  </w:r>
                </w:p>
              </w:tc>
              <w:tc>
                <w:tcPr/>
                <w:p>
                  <w:pPr>
                    <w:pStyle w:val="Compact"/>
                    <w:jc w:val="right"/>
                    <w:jc w:val="center"/>
                  </w:pPr>
                  <w:r>
                    <w:t xml:space="preserve">1.7</w:t>
                  </w:r>
                </w:p>
              </w:tc>
              <w:tc>
                <w:tcPr/>
                <w:p>
                  <w:pPr>
                    <w:pStyle w:val="Compact"/>
                    <w:jc w:val="right"/>
                    <w:jc w:val="center"/>
                  </w:pPr>
                  <w:r>
                    <w:t xml:space="preserve">1.05</w:t>
                  </w:r>
                </w:p>
              </w:tc>
              <w:tc>
                <w:tcPr/>
                <w:p>
                  <w:pPr>
                    <w:pStyle w:val="Compact"/>
                    <w:jc w:val="right"/>
                    <w:jc w:val="center"/>
                  </w:pPr>
                  <w:r>
                    <w:t xml:space="preserve">55</w:t>
                  </w:r>
                </w:p>
              </w:tc>
              <w:tc>
                <w:tcPr/>
                <w:p>
                  <w:pPr>
                    <w:pStyle w:val="Compact"/>
                    <w:jc w:val="right"/>
                    <w:jc w:val="center"/>
                  </w:pPr>
                  <w:r>
                    <w:t xml:space="preserve">+0 (11)</w:t>
                  </w:r>
                </w:p>
              </w:tc>
            </w:tr>
            <w:tr>
              <w:tc>
                <w:tcPr/>
                <w:p>
                  <w:pPr>
                    <w:pStyle w:val="Compact"/>
                    <w:jc w:val="left"/>
                    <w:jc w:val="center"/>
                  </w:pPr>
                  <w:r>
                    <w:t xml:space="preserve">RedBird</w:t>
                  </w:r>
                </w:p>
              </w:tc>
              <w:tc>
                <w:tcPr/>
                <w:p>
                  <w:pPr>
                    <w:pStyle w:val="Compact"/>
                    <w:jc w:val="left"/>
                    <w:jc w:val="center"/>
                  </w:pPr>
                  <w:r>
                    <w:t xml:space="preserve">Violent</w:t>
                  </w:r>
                </w:p>
              </w:tc>
              <w:tc>
                <w:tcPr/>
                <w:p>
                  <w:pPr>
                    <w:pStyle w:val="Compact"/>
                    <w:jc w:val="right"/>
                    <w:jc w:val="center"/>
                  </w:pPr>
                  <w:r>
                    <w:t xml:space="preserve">5</w:t>
                  </w:r>
                </w:p>
              </w:tc>
              <w:tc>
                <w:tcPr/>
                <w:p>
                  <w:pPr>
                    <w:pStyle w:val="Compact"/>
                    <w:jc w:val="right"/>
                    <w:jc w:val="center"/>
                  </w:pPr>
                  <w:r>
                    <w:t xml:space="preserve">0.96</w:t>
                  </w:r>
                </w:p>
              </w:tc>
              <w:tc>
                <w:tcPr/>
                <w:p>
                  <w:pPr>
                    <w:pStyle w:val="Compact"/>
                    <w:jc w:val="right"/>
                    <w:jc w:val="center"/>
                  </w:pPr>
                  <w:r>
                    <w:t xml:space="preserve">1.9</w:t>
                  </w:r>
                </w:p>
              </w:tc>
              <w:tc>
                <w:tcPr/>
                <w:p>
                  <w:pPr>
                    <w:pStyle w:val="Compact"/>
                    <w:jc w:val="right"/>
                    <w:jc w:val="center"/>
                  </w:pPr>
                  <w:r>
                    <w:t xml:space="preserve">1.08</w:t>
                  </w:r>
                </w:p>
              </w:tc>
              <w:tc>
                <w:tcPr/>
                <w:p>
                  <w:pPr>
                    <w:pStyle w:val="Compact"/>
                    <w:jc w:val="right"/>
                    <w:jc w:val="center"/>
                  </w:pPr>
                  <w:r>
                    <w:t xml:space="preserve">26</w:t>
                  </w:r>
                </w:p>
              </w:tc>
              <w:tc>
                <w:tcPr/>
                <w:p>
                  <w:pPr>
                    <w:pStyle w:val="Compact"/>
                    <w:jc w:val="right"/>
                    <w:jc w:val="center"/>
                  </w:pPr>
                  <w:r>
                    <w:t xml:space="preserve">+16 (10)</w:t>
                  </w:r>
                </w:p>
              </w:tc>
            </w:tr>
            <w:tr>
              <w:tc>
                <w:tcPr/>
                <w:p>
                  <w:pPr>
                    <w:pStyle w:val="Compact"/>
                    <w:jc w:val="left"/>
                    <w:jc w:val="center"/>
                  </w:pPr>
                  <w:r>
                    <w:t xml:space="preserve">RedBird</w:t>
                  </w:r>
                </w:p>
              </w:tc>
              <w:tc>
                <w:tcPr/>
                <w:p>
                  <w:pPr>
                    <w:pStyle w:val="Compact"/>
                    <w:jc w:val="left"/>
                    <w:jc w:val="center"/>
                  </w:pPr>
                  <w:r>
                    <w:t xml:space="preserve">Property</w:t>
                  </w:r>
                </w:p>
              </w:tc>
              <w:tc>
                <w:tcPr/>
                <w:p>
                  <w:pPr>
                    <w:pStyle w:val="Compact"/>
                    <w:jc w:val="right"/>
                    <w:jc w:val="center"/>
                  </w:pPr>
                  <w:r>
                    <w:t xml:space="preserve">1</w:t>
                  </w:r>
                </w:p>
              </w:tc>
              <w:tc>
                <w:tcPr/>
                <w:p>
                  <w:pPr>
                    <w:pStyle w:val="Compact"/>
                    <w:jc w:val="right"/>
                    <w:jc w:val="center"/>
                  </w:pPr>
                  <w:r>
                    <w:t xml:space="preserve">1.00</w:t>
                  </w:r>
                </w:p>
              </w:tc>
              <w:tc>
                <w:tcPr/>
                <w:p>
                  <w:pPr>
                    <w:pStyle w:val="Compact"/>
                    <w:jc w:val="right"/>
                    <w:jc w:val="center"/>
                  </w:pPr>
                  <w:r>
                    <w:t xml:space="preserve">1.1</w:t>
                  </w:r>
                </w:p>
              </w:tc>
              <w:tc>
                <w:tcPr/>
                <w:p>
                  <w:pPr>
                    <w:pStyle w:val="Compact"/>
                    <w:jc w:val="right"/>
                    <w:jc w:val="center"/>
                  </w:pPr>
                  <w:r>
                    <w:t xml:space="preserve">0.76</w:t>
                  </w:r>
                </w:p>
              </w:tc>
              <w:tc>
                <w:tcPr/>
                <w:p>
                  <w:pPr>
                    <w:pStyle w:val="Compact"/>
                    <w:jc w:val="right"/>
                    <w:jc w:val="center"/>
                  </w:pPr>
                  <w:r>
                    <w:t xml:space="preserve">46</w:t>
                  </w:r>
                </w:p>
              </w:tc>
              <w:tc>
                <w:tcPr/>
                <w:p>
                  <w:pPr>
                    <w:pStyle w:val="Compact"/>
                    <w:jc w:val="right"/>
                    <w:jc w:val="center"/>
                  </w:pPr>
                  <w:r>
                    <w:t xml:space="preserve">+15 (21)</w:t>
                  </w:r>
                </w:p>
              </w:tc>
            </w:tr>
            <w:tr>
              <w:tc>
                <w:tcPr/>
                <w:p>
                  <w:pPr>
                    <w:pStyle w:val="Compact"/>
                    <w:jc w:val="left"/>
                    <w:jc w:val="center"/>
                  </w:pPr>
                  <w:r>
                    <w:t xml:space="preserve">RedBird</w:t>
                  </w:r>
                </w:p>
              </w:tc>
              <w:tc>
                <w:tcPr/>
                <w:p>
                  <w:pPr>
                    <w:pStyle w:val="Compact"/>
                    <w:jc w:val="left"/>
                    <w:jc w:val="center"/>
                  </w:pPr>
                  <w:r>
                    <w:t xml:space="preserve">Property</w:t>
                  </w:r>
                </w:p>
              </w:tc>
              <w:tc>
                <w:tcPr/>
                <w:p>
                  <w:pPr>
                    <w:pStyle w:val="Compact"/>
                    <w:jc w:val="right"/>
                    <w:jc w:val="center"/>
                  </w:pPr>
                  <w:r>
                    <w:t xml:space="preserve">2</w:t>
                  </w:r>
                </w:p>
              </w:tc>
              <w:tc>
                <w:tcPr/>
                <w:p>
                  <w:pPr>
                    <w:pStyle w:val="Compact"/>
                    <w:jc w:val="right"/>
                    <w:jc w:val="center"/>
                  </w:pPr>
                  <w:r>
                    <w:t xml:space="preserve">0.99</w:t>
                  </w:r>
                </w:p>
              </w:tc>
              <w:tc>
                <w:tcPr/>
                <w:p>
                  <w:pPr>
                    <w:pStyle w:val="Compact"/>
                    <w:jc w:val="right"/>
                    <w:jc w:val="center"/>
                  </w:pPr>
                  <w:r>
                    <w:t xml:space="preserve">2.2</w:t>
                  </w:r>
                </w:p>
              </w:tc>
              <w:tc>
                <w:tcPr/>
                <w:p>
                  <w:pPr>
                    <w:pStyle w:val="Compact"/>
                    <w:jc w:val="right"/>
                    <w:jc w:val="center"/>
                  </w:pPr>
                  <w:r>
                    <w:t xml:space="preserve">0.96</w:t>
                  </w:r>
                </w:p>
              </w:tc>
              <w:tc>
                <w:tcPr/>
                <w:p>
                  <w:pPr>
                    <w:pStyle w:val="Compact"/>
                    <w:jc w:val="right"/>
                    <w:jc w:val="center"/>
                  </w:pPr>
                  <w:r>
                    <w:t xml:space="preserve">67</w:t>
                  </w:r>
                </w:p>
              </w:tc>
              <w:tc>
                <w:tcPr/>
                <w:p>
                  <w:pPr>
                    <w:pStyle w:val="Compact"/>
                    <w:jc w:val="right"/>
                    <w:jc w:val="center"/>
                  </w:pPr>
                  <w:r>
                    <w:t xml:space="preserve">+45 (21)</w:t>
                  </w:r>
                </w:p>
              </w:tc>
            </w:tr>
            <w:tr>
              <w:tc>
                <w:tcPr/>
                <w:p>
                  <w:pPr>
                    <w:pStyle w:val="Compact"/>
                    <w:jc w:val="left"/>
                    <w:jc w:val="center"/>
                  </w:pPr>
                  <w:r>
                    <w:t xml:space="preserve">RedBird</w:t>
                  </w:r>
                </w:p>
              </w:tc>
              <w:tc>
                <w:tcPr/>
                <w:p>
                  <w:pPr>
                    <w:pStyle w:val="Compact"/>
                    <w:jc w:val="left"/>
                    <w:jc w:val="center"/>
                  </w:pPr>
                  <w:r>
                    <w:t xml:space="preserve">Property</w:t>
                  </w:r>
                </w:p>
              </w:tc>
              <w:tc>
                <w:tcPr/>
                <w:p>
                  <w:pPr>
                    <w:pStyle w:val="Compact"/>
                    <w:jc w:val="right"/>
                    <w:jc w:val="center"/>
                  </w:pPr>
                  <w:r>
                    <w:t xml:space="preserve">3</w:t>
                  </w:r>
                </w:p>
              </w:tc>
              <w:tc>
                <w:tcPr/>
                <w:p>
                  <w:pPr>
                    <w:pStyle w:val="Compact"/>
                    <w:jc w:val="right"/>
                    <w:jc w:val="center"/>
                  </w:pPr>
                  <w:r>
                    <w:t xml:space="preserve">1.00</w:t>
                  </w:r>
                </w:p>
              </w:tc>
              <w:tc>
                <w:tcPr/>
                <w:p>
                  <w:pPr>
                    <w:pStyle w:val="Compact"/>
                    <w:jc w:val="right"/>
                    <w:jc w:val="center"/>
                  </w:pPr>
                  <w:r>
                    <w:t xml:space="preserve">2.9</w:t>
                  </w:r>
                </w:p>
              </w:tc>
              <w:tc>
                <w:tcPr/>
                <w:p>
                  <w:pPr>
                    <w:pStyle w:val="Compact"/>
                    <w:jc w:val="right"/>
                    <w:jc w:val="center"/>
                  </w:pPr>
                  <w:r>
                    <w:t xml:space="preserve">1.04</w:t>
                  </w:r>
                </w:p>
              </w:tc>
              <w:tc>
                <w:tcPr/>
                <w:p>
                  <w:pPr>
                    <w:pStyle w:val="Compact"/>
                    <w:jc w:val="right"/>
                    <w:jc w:val="center"/>
                  </w:pPr>
                  <w:r>
                    <w:t xml:space="preserve">43</w:t>
                  </w:r>
                </w:p>
              </w:tc>
              <w:tc>
                <w:tcPr/>
                <w:p>
                  <w:pPr>
                    <w:pStyle w:val="Compact"/>
                    <w:jc w:val="right"/>
                    <w:jc w:val="center"/>
                  </w:pPr>
                  <w:r>
                    <w:t xml:space="preserve">+17 (21)</w:t>
                  </w:r>
                </w:p>
              </w:tc>
            </w:tr>
            <w:tr>
              <w:tc>
                <w:tcPr/>
                <w:p>
                  <w:pPr>
                    <w:pStyle w:val="Compact"/>
                    <w:jc w:val="left"/>
                    <w:jc w:val="center"/>
                  </w:pPr>
                  <w:r>
                    <w:t xml:space="preserve">RedBird</w:t>
                  </w:r>
                </w:p>
              </w:tc>
              <w:tc>
                <w:tcPr/>
                <w:p>
                  <w:pPr>
                    <w:pStyle w:val="Compact"/>
                    <w:jc w:val="left"/>
                    <w:jc w:val="center"/>
                  </w:pPr>
                  <w:r>
                    <w:t xml:space="preserve">Property</w:t>
                  </w:r>
                </w:p>
              </w:tc>
              <w:tc>
                <w:tcPr/>
                <w:p>
                  <w:pPr>
                    <w:pStyle w:val="Compact"/>
                    <w:jc w:val="right"/>
                    <w:jc w:val="center"/>
                  </w:pPr>
                  <w:r>
                    <w:t xml:space="preserve">4</w:t>
                  </w:r>
                </w:p>
              </w:tc>
              <w:tc>
                <w:tcPr/>
                <w:p>
                  <w:pPr>
                    <w:pStyle w:val="Compact"/>
                    <w:jc w:val="right"/>
                    <w:jc w:val="center"/>
                  </w:pPr>
                  <w:r>
                    <w:t xml:space="preserve">0.99</w:t>
                  </w:r>
                </w:p>
              </w:tc>
              <w:tc>
                <w:tcPr/>
                <w:p>
                  <w:pPr>
                    <w:pStyle w:val="Compact"/>
                    <w:jc w:val="right"/>
                    <w:jc w:val="center"/>
                  </w:pPr>
                  <w:r>
                    <w:t xml:space="preserve">3.8</w:t>
                  </w:r>
                </w:p>
              </w:tc>
              <w:tc>
                <w:tcPr/>
                <w:p>
                  <w:pPr>
                    <w:pStyle w:val="Compact"/>
                    <w:jc w:val="right"/>
                    <w:jc w:val="center"/>
                  </w:pPr>
                  <w:r>
                    <w:t xml:space="preserve">0.80</w:t>
                  </w:r>
                </w:p>
              </w:tc>
              <w:tc>
                <w:tcPr/>
                <w:p>
                  <w:pPr>
                    <w:pStyle w:val="Compact"/>
                    <w:jc w:val="right"/>
                    <w:jc w:val="center"/>
                  </w:pPr>
                  <w:r>
                    <w:t xml:space="preserve">64</w:t>
                  </w:r>
                </w:p>
              </w:tc>
              <w:tc>
                <w:tcPr/>
                <w:p>
                  <w:pPr>
                    <w:pStyle w:val="Compact"/>
                    <w:jc w:val="right"/>
                    <w:jc w:val="center"/>
                  </w:pPr>
                  <w:r>
                    <w:t xml:space="preserve">+8 (21)</w:t>
                  </w:r>
                </w:p>
              </w:tc>
            </w:tr>
            <w:tr>
              <w:tc>
                <w:tcPr/>
                <w:p>
                  <w:pPr>
                    <w:pStyle w:val="Compact"/>
                    <w:jc w:val="left"/>
                    <w:jc w:val="center"/>
                  </w:pPr>
                  <w:r>
                    <w:t xml:space="preserve">RedBird</w:t>
                  </w:r>
                </w:p>
              </w:tc>
              <w:tc>
                <w:tcPr/>
                <w:p>
                  <w:pPr>
                    <w:pStyle w:val="Compact"/>
                    <w:jc w:val="left"/>
                    <w:jc w:val="center"/>
                  </w:pPr>
                  <w:r>
                    <w:t xml:space="preserve">Property</w:t>
                  </w:r>
                </w:p>
              </w:tc>
              <w:tc>
                <w:tcPr/>
                <w:p>
                  <w:pPr>
                    <w:pStyle w:val="Compact"/>
                    <w:jc w:val="right"/>
                    <w:jc w:val="center"/>
                  </w:pPr>
                  <w:r>
                    <w:t xml:space="preserve">5</w:t>
                  </w:r>
                </w:p>
              </w:tc>
              <w:tc>
                <w:tcPr/>
                <w:p>
                  <w:pPr>
                    <w:pStyle w:val="Compact"/>
                    <w:jc w:val="right"/>
                    <w:jc w:val="center"/>
                  </w:pPr>
                  <w:r>
                    <w:t xml:space="preserve">1.00</w:t>
                  </w:r>
                </w:p>
              </w:tc>
              <w:tc>
                <w:tcPr/>
                <w:p>
                  <w:pPr>
                    <w:pStyle w:val="Compact"/>
                    <w:jc w:val="right"/>
                    <w:jc w:val="center"/>
                  </w:pPr>
                  <w:r>
                    <w:t xml:space="preserve">4.2</w:t>
                  </w:r>
                </w:p>
              </w:tc>
              <w:tc>
                <w:tcPr/>
                <w:p>
                  <w:pPr>
                    <w:pStyle w:val="Compact"/>
                    <w:jc w:val="right"/>
                    <w:jc w:val="center"/>
                  </w:pPr>
                  <w:r>
                    <w:t xml:space="preserve">0.70</w:t>
                  </w:r>
                </w:p>
              </w:tc>
              <w:tc>
                <w:tcPr/>
                <w:p>
                  <w:pPr>
                    <w:pStyle w:val="Compact"/>
                    <w:jc w:val="right"/>
                    <w:jc w:val="center"/>
                  </w:pPr>
                  <w:r>
                    <w:t xml:space="preserve">83</w:t>
                  </w:r>
                </w:p>
              </w:tc>
              <w:tc>
                <w:tcPr/>
                <w:p>
                  <w:pPr>
                    <w:pStyle w:val="Compact"/>
                    <w:jc w:val="right"/>
                    <w:jc w:val="center"/>
                  </w:pPr>
                  <w:r>
                    <w:t xml:space="preserve">+59 (19)</w:t>
                  </w:r>
                </w:p>
              </w:tc>
            </w:tr>
            <w:tr>
              <w:tc>
                <w:tcPr/>
                <w:p>
                  <w:pPr>
                    <w:pStyle w:val="Compact"/>
                    <w:jc w:val="left"/>
                    <w:jc w:val="center"/>
                  </w:pPr>
                  <w:r>
                    <w:t xml:space="preserve">Roosevelt</w:t>
                  </w:r>
                </w:p>
              </w:tc>
              <w:tc>
                <w:tcPr/>
                <w:p>
                  <w:pPr>
                    <w:pStyle w:val="Compact"/>
                    <w:jc w:val="left"/>
                    <w:jc w:val="center"/>
                  </w:pPr>
                  <w:r>
                    <w:t xml:space="preserve">Violent</w:t>
                  </w:r>
                </w:p>
              </w:tc>
              <w:tc>
                <w:tcPr/>
                <w:p>
                  <w:pPr>
                    <w:pStyle w:val="Compact"/>
                    <w:jc w:val="right"/>
                    <w:jc w:val="center"/>
                  </w:pPr>
                  <w:r>
                    <w:t xml:space="preserve">1</w:t>
                  </w:r>
                </w:p>
              </w:tc>
              <w:tc>
                <w:tcPr/>
                <w:p>
                  <w:pPr>
                    <w:pStyle w:val="Compact"/>
                    <w:jc w:val="right"/>
                    <w:jc w:val="center"/>
                  </w:pPr>
                  <w:r>
                    <w:t xml:space="preserve">1.00</w:t>
                  </w:r>
                </w:p>
              </w:tc>
              <w:tc>
                <w:tcPr/>
                <w:p>
                  <w:pPr>
                    <w:pStyle w:val="Compact"/>
                    <w:jc w:val="right"/>
                    <w:jc w:val="center"/>
                  </w:pPr>
                  <w:r>
                    <w:t xml:space="preserve">0.3</w:t>
                  </w:r>
                </w:p>
              </w:tc>
              <w:tc>
                <w:tcPr/>
                <w:p>
                  <w:pPr>
                    <w:pStyle w:val="Compact"/>
                    <w:jc w:val="right"/>
                    <w:jc w:val="center"/>
                  </w:pPr>
                  <w:r>
                    <w:t xml:space="preserve">1.33</w:t>
                  </w:r>
                </w:p>
              </w:tc>
              <w:tc>
                <w:tcPr/>
                <w:p>
                  <w:pPr>
                    <w:pStyle w:val="Compact"/>
                    <w:jc w:val="right"/>
                    <w:jc w:val="center"/>
                  </w:pPr>
                  <w:r>
                    <w:t xml:space="preserve">180</w:t>
                  </w:r>
                </w:p>
              </w:tc>
              <w:tc>
                <w:tcPr/>
                <w:p>
                  <w:pPr>
                    <w:pStyle w:val="Compact"/>
                    <w:jc w:val="right"/>
                    <w:jc w:val="center"/>
                  </w:pPr>
                  <w:r>
                    <w:t xml:space="preserve">-79 (50)</w:t>
                  </w:r>
                </w:p>
              </w:tc>
            </w:tr>
            <w:tr>
              <w:tc>
                <w:tcPr/>
                <w:p>
                  <w:pPr>
                    <w:pStyle w:val="Compact"/>
                    <w:jc w:val="left"/>
                    <w:jc w:val="center"/>
                  </w:pPr>
                  <w:r>
                    <w:t xml:space="preserve">Roosevelt</w:t>
                  </w:r>
                </w:p>
              </w:tc>
              <w:tc>
                <w:tcPr/>
                <w:p>
                  <w:pPr>
                    <w:pStyle w:val="Compact"/>
                    <w:jc w:val="left"/>
                    <w:jc w:val="center"/>
                  </w:pPr>
                  <w:r>
                    <w:t xml:space="preserve">Violent</w:t>
                  </w:r>
                </w:p>
              </w:tc>
              <w:tc>
                <w:tcPr/>
                <w:p>
                  <w:pPr>
                    <w:pStyle w:val="Compact"/>
                    <w:jc w:val="right"/>
                    <w:jc w:val="center"/>
                  </w:pPr>
                  <w:r>
                    <w:t xml:space="preserve">2</w:t>
                  </w:r>
                </w:p>
              </w:tc>
              <w:tc>
                <w:tcPr/>
                <w:p>
                  <w:pPr>
                    <w:pStyle w:val="Compact"/>
                    <w:jc w:val="right"/>
                    <w:jc w:val="center"/>
                  </w:pPr>
                  <w:r>
                    <w:t xml:space="preserve">0.98</w:t>
                  </w:r>
                </w:p>
              </w:tc>
              <w:tc>
                <w:tcPr/>
                <w:p>
                  <w:pPr>
                    <w:pStyle w:val="Compact"/>
                    <w:jc w:val="right"/>
                    <w:jc w:val="center"/>
                  </w:pPr>
                  <w:r>
                    <w:t xml:space="preserve">3.7</w:t>
                  </w:r>
                </w:p>
              </w:tc>
              <w:tc>
                <w:tcPr/>
                <w:p>
                  <w:pPr>
                    <w:pStyle w:val="Compact"/>
                    <w:jc w:val="right"/>
                    <w:jc w:val="center"/>
                  </w:pPr>
                  <w:r>
                    <w:t xml:space="preserve">0.34</w:t>
                  </w:r>
                </w:p>
              </w:tc>
              <w:tc>
                <w:tcPr/>
                <w:p>
                  <w:pPr>
                    <w:pStyle w:val="Compact"/>
                    <w:jc w:val="right"/>
                    <w:jc w:val="center"/>
                  </w:pPr>
                  <w:r>
                    <w:t xml:space="preserve">54</w:t>
                  </w:r>
                </w:p>
              </w:tc>
              <w:tc>
                <w:tcPr/>
                <w:p>
                  <w:pPr>
                    <w:pStyle w:val="Compact"/>
                    <w:jc w:val="right"/>
                    <w:jc w:val="center"/>
                  </w:pPr>
                  <w:r>
                    <w:t xml:space="preserve">+22 (49)</w:t>
                  </w:r>
                </w:p>
              </w:tc>
            </w:tr>
            <w:tr>
              <w:tc>
                <w:tcPr/>
                <w:p>
                  <w:pPr>
                    <w:pStyle w:val="Compact"/>
                    <w:jc w:val="left"/>
                    <w:jc w:val="center"/>
                  </w:pPr>
                  <w:r>
                    <w:t xml:space="preserve">Roosevelt</w:t>
                  </w:r>
                </w:p>
              </w:tc>
              <w:tc>
                <w:tcPr/>
                <w:p>
                  <w:pPr>
                    <w:pStyle w:val="Compact"/>
                    <w:jc w:val="left"/>
                    <w:jc w:val="center"/>
                  </w:pPr>
                  <w:r>
                    <w:t xml:space="preserve">Violent</w:t>
                  </w:r>
                </w:p>
              </w:tc>
              <w:tc>
                <w:tcPr/>
                <w:p>
                  <w:pPr>
                    <w:pStyle w:val="Compact"/>
                    <w:jc w:val="right"/>
                    <w:jc w:val="center"/>
                  </w:pPr>
                  <w:r>
                    <w:t xml:space="preserve">3</w:t>
                  </w:r>
                </w:p>
              </w:tc>
              <w:tc>
                <w:tcPr/>
                <w:p>
                  <w:pPr>
                    <w:pStyle w:val="Compact"/>
                    <w:jc w:val="right"/>
                    <w:jc w:val="center"/>
                  </w:pPr>
                  <w:r>
                    <w:t xml:space="preserve">1.05</w:t>
                  </w:r>
                </w:p>
              </w:tc>
              <w:tc>
                <w:tcPr/>
                <w:p>
                  <w:pPr>
                    <w:pStyle w:val="Compact"/>
                    <w:jc w:val="right"/>
                    <w:jc w:val="center"/>
                  </w:pPr>
                  <w:r>
                    <w:t xml:space="preserve">3.9</w:t>
                  </w:r>
                </w:p>
              </w:tc>
              <w:tc>
                <w:tcPr/>
                <w:p>
                  <w:pPr>
                    <w:pStyle w:val="Compact"/>
                    <w:jc w:val="right"/>
                    <w:jc w:val="center"/>
                  </w:pPr>
                  <w:r>
                    <w:t xml:space="preserve">0.35</w:t>
                  </w:r>
                </w:p>
              </w:tc>
              <w:tc>
                <w:tcPr/>
                <w:p>
                  <w:pPr>
                    <w:pStyle w:val="Compact"/>
                    <w:jc w:val="right"/>
                    <w:jc w:val="center"/>
                  </w:pPr>
                  <w:r>
                    <w:t xml:space="preserve">62</w:t>
                  </w:r>
                </w:p>
              </w:tc>
              <w:tc>
                <w:tcPr/>
                <w:p>
                  <w:pPr>
                    <w:pStyle w:val="Compact"/>
                    <w:jc w:val="right"/>
                    <w:jc w:val="center"/>
                  </w:pPr>
                  <w:r>
                    <w:t xml:space="preserve">+45 (49)</w:t>
                  </w:r>
                </w:p>
              </w:tc>
            </w:tr>
            <w:tr>
              <w:tc>
                <w:tcPr/>
                <w:p>
                  <w:pPr>
                    <w:pStyle w:val="Compact"/>
                    <w:jc w:val="left"/>
                    <w:jc w:val="center"/>
                  </w:pPr>
                  <w:r>
                    <w:t xml:space="preserve">Roosevelt</w:t>
                  </w:r>
                </w:p>
              </w:tc>
              <w:tc>
                <w:tcPr/>
                <w:p>
                  <w:pPr>
                    <w:pStyle w:val="Compact"/>
                    <w:jc w:val="left"/>
                    <w:jc w:val="center"/>
                  </w:pPr>
                  <w:r>
                    <w:t xml:space="preserve">Violent</w:t>
                  </w:r>
                </w:p>
              </w:tc>
              <w:tc>
                <w:tcPr/>
                <w:p>
                  <w:pPr>
                    <w:pStyle w:val="Compact"/>
                    <w:jc w:val="right"/>
                    <w:jc w:val="center"/>
                  </w:pPr>
                  <w:r>
                    <w:t xml:space="preserve">4</w:t>
                  </w:r>
                </w:p>
              </w:tc>
              <w:tc>
                <w:tcPr/>
                <w:p>
                  <w:pPr>
                    <w:pStyle w:val="Compact"/>
                    <w:jc w:val="right"/>
                    <w:jc w:val="center"/>
                  </w:pPr>
                  <w:r>
                    <w:t xml:space="preserve">1.13</w:t>
                  </w:r>
                </w:p>
              </w:tc>
              <w:tc>
                <w:tcPr/>
                <w:p>
                  <w:pPr>
                    <w:pStyle w:val="Compact"/>
                    <w:jc w:val="right"/>
                    <w:jc w:val="center"/>
                  </w:pPr>
                  <w:r>
                    <w:t xml:space="preserve">0.8</w:t>
                  </w:r>
                </w:p>
              </w:tc>
              <w:tc>
                <w:tcPr/>
                <w:p>
                  <w:pPr>
                    <w:pStyle w:val="Compact"/>
                    <w:jc w:val="right"/>
                    <w:jc w:val="center"/>
                  </w:pPr>
                  <w:r>
                    <w:t xml:space="preserve">1.66</w:t>
                  </w:r>
                </w:p>
              </w:tc>
              <w:tc>
                <w:tcPr/>
                <w:p>
                  <w:pPr>
                    <w:pStyle w:val="Compact"/>
                    <w:jc w:val="right"/>
                    <w:jc w:val="center"/>
                  </w:pPr>
                  <w:r>
                    <w:t xml:space="preserve">223</w:t>
                  </w:r>
                </w:p>
              </w:tc>
              <w:tc>
                <w:tcPr/>
                <w:p>
                  <w:pPr>
                    <w:pStyle w:val="Compact"/>
                    <w:jc w:val="right"/>
                    <w:jc w:val="center"/>
                  </w:pPr>
                  <w:r>
                    <w:t xml:space="preserve">+56 (48)</w:t>
                  </w:r>
                </w:p>
              </w:tc>
            </w:tr>
            <w:tr>
              <w:tc>
                <w:tcPr/>
                <w:p>
                  <w:pPr>
                    <w:pStyle w:val="Compact"/>
                    <w:jc w:val="left"/>
                    <w:jc w:val="center"/>
                  </w:pPr>
                  <w:r>
                    <w:t xml:space="preserve">Roosevelt</w:t>
                  </w:r>
                </w:p>
              </w:tc>
              <w:tc>
                <w:tcPr/>
                <w:p>
                  <w:pPr>
                    <w:pStyle w:val="Compact"/>
                    <w:jc w:val="left"/>
                    <w:jc w:val="center"/>
                  </w:pPr>
                  <w:r>
                    <w:t xml:space="preserve">Property</w:t>
                  </w:r>
                </w:p>
              </w:tc>
              <w:tc>
                <w:tcPr/>
                <w:p>
                  <w:pPr>
                    <w:pStyle w:val="Compact"/>
                    <w:jc w:val="right"/>
                    <w:jc w:val="center"/>
                  </w:pPr>
                  <w:r>
                    <w:t xml:space="preserve">1</w:t>
                  </w:r>
                </w:p>
              </w:tc>
              <w:tc>
                <w:tcPr/>
                <w:p>
                  <w:pPr>
                    <w:pStyle w:val="Compact"/>
                    <w:jc w:val="right"/>
                    <w:jc w:val="center"/>
                  </w:pPr>
                  <w:r>
                    <w:t xml:space="preserve">1.00</w:t>
                  </w:r>
                </w:p>
              </w:tc>
              <w:tc>
                <w:tcPr/>
                <w:p>
                  <w:pPr>
                    <w:pStyle w:val="Compact"/>
                    <w:jc w:val="right"/>
                    <w:jc w:val="center"/>
                  </w:pPr>
                  <w:r>
                    <w:t xml:space="preserve">4.2</w:t>
                  </w:r>
                </w:p>
              </w:tc>
              <w:tc>
                <w:tcPr/>
                <w:p>
                  <w:pPr>
                    <w:pStyle w:val="Compact"/>
                    <w:jc w:val="right"/>
                    <w:jc w:val="center"/>
                  </w:pPr>
                  <w:r>
                    <w:t xml:space="preserve">0.48</w:t>
                  </w:r>
                </w:p>
              </w:tc>
              <w:tc>
                <w:tcPr/>
                <w:p>
                  <w:pPr>
                    <w:pStyle w:val="Compact"/>
                    <w:jc w:val="right"/>
                    <w:jc w:val="center"/>
                  </w:pPr>
                  <w:r>
                    <w:t xml:space="preserve">88</w:t>
                  </w:r>
                </w:p>
              </w:tc>
              <w:tc>
                <w:tcPr/>
                <w:p>
                  <w:pPr>
                    <w:pStyle w:val="Compact"/>
                    <w:jc w:val="right"/>
                    <w:jc w:val="center"/>
                  </w:pPr>
                  <w:r>
                    <w:t xml:space="preserve">+100 (69)</w:t>
                  </w:r>
                </w:p>
              </w:tc>
            </w:tr>
            <w:tr>
              <w:tc>
                <w:tcPr/>
                <w:p>
                  <w:pPr>
                    <w:pStyle w:val="Compact"/>
                    <w:jc w:val="left"/>
                    <w:jc w:val="center"/>
                  </w:pPr>
                  <w:r>
                    <w:t xml:space="preserve">Roosevelt</w:t>
                  </w:r>
                </w:p>
              </w:tc>
              <w:tc>
                <w:tcPr/>
                <w:p>
                  <w:pPr>
                    <w:pStyle w:val="Compact"/>
                    <w:jc w:val="left"/>
                    <w:jc w:val="center"/>
                  </w:pPr>
                  <w:r>
                    <w:t xml:space="preserve">Property</w:t>
                  </w:r>
                </w:p>
              </w:tc>
              <w:tc>
                <w:tcPr/>
                <w:p>
                  <w:pPr>
                    <w:pStyle w:val="Compact"/>
                    <w:jc w:val="right"/>
                    <w:jc w:val="center"/>
                  </w:pPr>
                  <w:r>
                    <w:t xml:space="preserve">2</w:t>
                  </w:r>
                </w:p>
              </w:tc>
              <w:tc>
                <w:tcPr/>
                <w:p>
                  <w:pPr>
                    <w:pStyle w:val="Compact"/>
                    <w:jc w:val="right"/>
                    <w:jc w:val="center"/>
                  </w:pPr>
                  <w:r>
                    <w:t xml:space="preserve">1.00</w:t>
                  </w:r>
                </w:p>
              </w:tc>
              <w:tc>
                <w:tcPr/>
                <w:p>
                  <w:pPr>
                    <w:pStyle w:val="Compact"/>
                    <w:jc w:val="right"/>
                    <w:jc w:val="center"/>
                  </w:pPr>
                  <w:r>
                    <w:t xml:space="preserve">4.3</w:t>
                  </w:r>
                </w:p>
              </w:tc>
              <w:tc>
                <w:tcPr/>
                <w:p>
                  <w:pPr>
                    <w:pStyle w:val="Compact"/>
                    <w:jc w:val="right"/>
                    <w:jc w:val="center"/>
                  </w:pPr>
                  <w:r>
                    <w:t xml:space="preserve">0.45</w:t>
                  </w:r>
                </w:p>
              </w:tc>
              <w:tc>
                <w:tcPr/>
                <w:p>
                  <w:pPr>
                    <w:pStyle w:val="Compact"/>
                    <w:jc w:val="right"/>
                    <w:jc w:val="center"/>
                  </w:pPr>
                  <w:r>
                    <w:t xml:space="preserve">69</w:t>
                  </w:r>
                </w:p>
              </w:tc>
              <w:tc>
                <w:tcPr/>
                <w:p>
                  <w:pPr>
                    <w:pStyle w:val="Compact"/>
                    <w:jc w:val="right"/>
                    <w:jc w:val="center"/>
                  </w:pPr>
                  <w:r>
                    <w:t xml:space="preserve">+167 (68)</w:t>
                  </w:r>
                </w:p>
              </w:tc>
            </w:tr>
            <w:tr>
              <w:tc>
                <w:tcPr/>
                <w:p>
                  <w:pPr>
                    <w:pStyle w:val="Compact"/>
                    <w:jc w:val="left"/>
                    <w:jc w:val="center"/>
                  </w:pPr>
                  <w:r>
                    <w:t xml:space="preserve">Roosevelt</w:t>
                  </w:r>
                </w:p>
              </w:tc>
              <w:tc>
                <w:tcPr/>
                <w:p>
                  <w:pPr>
                    <w:pStyle w:val="Compact"/>
                    <w:jc w:val="left"/>
                    <w:jc w:val="center"/>
                  </w:pPr>
                  <w:r>
                    <w:t xml:space="preserve">Property</w:t>
                  </w:r>
                </w:p>
              </w:tc>
              <w:tc>
                <w:tcPr/>
                <w:p>
                  <w:pPr>
                    <w:pStyle w:val="Compact"/>
                    <w:jc w:val="right"/>
                    <w:jc w:val="center"/>
                  </w:pPr>
                  <w:r>
                    <w:t xml:space="preserve">3</w:t>
                  </w:r>
                </w:p>
              </w:tc>
              <w:tc>
                <w:tcPr/>
                <w:p>
                  <w:pPr>
                    <w:pStyle w:val="Compact"/>
                    <w:jc w:val="right"/>
                    <w:jc w:val="center"/>
                  </w:pPr>
                  <w:r>
                    <w:t xml:space="preserve">1.00</w:t>
                  </w:r>
                </w:p>
              </w:tc>
              <w:tc>
                <w:tcPr/>
                <w:p>
                  <w:pPr>
                    <w:pStyle w:val="Compact"/>
                    <w:jc w:val="right"/>
                    <w:jc w:val="center"/>
                  </w:pPr>
                  <w:r>
                    <w:t xml:space="preserve">4.2</w:t>
                  </w:r>
                </w:p>
              </w:tc>
              <w:tc>
                <w:tcPr/>
                <w:p>
                  <w:pPr>
                    <w:pStyle w:val="Compact"/>
                    <w:jc w:val="right"/>
                    <w:jc w:val="center"/>
                  </w:pPr>
                  <w:r>
                    <w:t xml:space="preserve">0.99</w:t>
                  </w:r>
                </w:p>
              </w:tc>
              <w:tc>
                <w:tcPr/>
                <w:p>
                  <w:pPr>
                    <w:pStyle w:val="Compact"/>
                    <w:jc w:val="right"/>
                    <w:jc w:val="center"/>
                  </w:pPr>
                  <w:r>
                    <w:t xml:space="preserve">103</w:t>
                  </w:r>
                </w:p>
              </w:tc>
              <w:tc>
                <w:tcPr/>
                <w:p>
                  <w:pPr>
                    <w:pStyle w:val="Compact"/>
                    <w:jc w:val="right"/>
                    <w:jc w:val="center"/>
                  </w:pPr>
                  <w:r>
                    <w:t xml:space="preserve">+310 (68)</w:t>
                  </w:r>
                </w:p>
              </w:tc>
            </w:tr>
            <w:tr>
              <w:tc>
                <w:tcPr/>
                <w:p>
                  <w:pPr>
                    <w:pStyle w:val="Compact"/>
                    <w:jc w:val="left"/>
                    <w:jc w:val="center"/>
                  </w:pPr>
                  <w:r>
                    <w:t xml:space="preserve">Roosevelt</w:t>
                  </w:r>
                </w:p>
              </w:tc>
              <w:tc>
                <w:tcPr/>
                <w:p>
                  <w:pPr>
                    <w:pStyle w:val="Compact"/>
                    <w:jc w:val="left"/>
                    <w:jc w:val="center"/>
                  </w:pPr>
                  <w:r>
                    <w:t xml:space="preserve">Property</w:t>
                  </w:r>
                </w:p>
              </w:tc>
              <w:tc>
                <w:tcPr/>
                <w:p>
                  <w:pPr>
                    <w:pStyle w:val="Compact"/>
                    <w:jc w:val="right"/>
                    <w:jc w:val="center"/>
                  </w:pPr>
                  <w:r>
                    <w:t xml:space="preserve">4</w:t>
                  </w:r>
                </w:p>
              </w:tc>
              <w:tc>
                <w:tcPr/>
                <w:p>
                  <w:pPr>
                    <w:pStyle w:val="Compact"/>
                    <w:jc w:val="right"/>
                    <w:jc w:val="center"/>
                  </w:pPr>
                  <w:r>
                    <w:t xml:space="preserve">1.00</w:t>
                  </w:r>
                </w:p>
              </w:tc>
              <w:tc>
                <w:tcPr/>
                <w:p>
                  <w:pPr>
                    <w:pStyle w:val="Compact"/>
                    <w:jc w:val="right"/>
                    <w:jc w:val="center"/>
                  </w:pPr>
                  <w:r>
                    <w:t xml:space="preserve">4.2</w:t>
                  </w:r>
                </w:p>
              </w:tc>
              <w:tc>
                <w:tcPr/>
                <w:p>
                  <w:pPr>
                    <w:pStyle w:val="Compact"/>
                    <w:jc w:val="right"/>
                    <w:jc w:val="center"/>
                  </w:pPr>
                  <w:r>
                    <w:t xml:space="preserve">0.39</w:t>
                  </w:r>
                </w:p>
              </w:tc>
              <w:tc>
                <w:tcPr/>
                <w:p>
                  <w:pPr>
                    <w:pStyle w:val="Compact"/>
                    <w:jc w:val="right"/>
                    <w:jc w:val="center"/>
                  </w:pPr>
                  <w:r>
                    <w:t xml:space="preserve">66</w:t>
                  </w:r>
                </w:p>
              </w:tc>
              <w:tc>
                <w:tcPr/>
                <w:p>
                  <w:pPr>
                    <w:pStyle w:val="Compact"/>
                    <w:jc w:val="right"/>
                    <w:jc w:val="center"/>
                  </w:pPr>
                  <w:r>
                    <w:t xml:space="preserve">+328 (67)</w:t>
                  </w:r>
                </w:p>
              </w:tc>
            </w:tr>
            <w:tr>
              <w:tc>
                <w:tcPr/>
                <w:p>
                  <w:pPr>
                    <w:pStyle w:val="Compact"/>
                    <w:jc w:val="left"/>
                    <w:jc w:val="center"/>
                  </w:pPr>
                  <w:r>
                    <w:t xml:space="preserve">Roosevelt</w:t>
                  </w:r>
                </w:p>
              </w:tc>
              <w:tc>
                <w:tcPr/>
                <w:p>
                  <w:pPr>
                    <w:pStyle w:val="Compact"/>
                    <w:jc w:val="left"/>
                    <w:jc w:val="center"/>
                  </w:pPr>
                  <w:r>
                    <w:t xml:space="preserve">Property</w:t>
                  </w:r>
                </w:p>
              </w:tc>
              <w:tc>
                <w:tcPr/>
                <w:p>
                  <w:pPr>
                    <w:pStyle w:val="Compact"/>
                    <w:jc w:val="right"/>
                    <w:jc w:val="center"/>
                  </w:pPr>
                  <w:r>
                    <w:t xml:space="preserve">5</w:t>
                  </w:r>
                </w:p>
              </w:tc>
              <w:tc>
                <w:tcPr/>
                <w:p>
                  <w:pPr>
                    <w:pStyle w:val="Compact"/>
                    <w:jc w:val="right"/>
                    <w:jc w:val="center"/>
                  </w:pPr>
                  <w:r>
                    <w:t xml:space="preserve">1.01</w:t>
                  </w:r>
                </w:p>
              </w:tc>
              <w:tc>
                <w:tcPr/>
                <w:p>
                  <w:pPr>
                    <w:pStyle w:val="Compact"/>
                    <w:jc w:val="right"/>
                    <w:jc w:val="center"/>
                  </w:pPr>
                  <w:r>
                    <w:t xml:space="preserve">4.3</w:t>
                  </w:r>
                </w:p>
              </w:tc>
              <w:tc>
                <w:tcPr/>
                <w:p>
                  <w:pPr>
                    <w:pStyle w:val="Compact"/>
                    <w:jc w:val="right"/>
                    <w:jc w:val="center"/>
                  </w:pPr>
                  <w:r>
                    <w:t xml:space="preserve">0.79</w:t>
                  </w:r>
                </w:p>
              </w:tc>
              <w:tc>
                <w:tcPr/>
                <w:p>
                  <w:pPr>
                    <w:pStyle w:val="Compact"/>
                    <w:jc w:val="right"/>
                    <w:jc w:val="center"/>
                  </w:pPr>
                  <w:r>
                    <w:t xml:space="preserve">68</w:t>
                  </w:r>
                </w:p>
              </w:tc>
              <w:tc>
                <w:tcPr/>
                <w:p>
                  <w:pPr>
                    <w:pStyle w:val="Compact"/>
                    <w:jc w:val="right"/>
                    <w:jc w:val="center"/>
                  </w:pPr>
                  <w:r>
                    <w:t xml:space="preserve">+318 (67)</w:t>
                  </w:r>
                </w:p>
              </w:tc>
            </w:tr>
          </w:tbl>
          <w:bookmarkEnd w:id="68"/>
          <w:p/>
        </w:tc>
      </w:tr>
    </w:tbl>
    <w:p>
      <w:pPr>
        <w:pStyle w:val="BodyText"/>
      </w:pPr>
      <w:hyperlink w:anchor="tbl-alt">
        <w:r>
          <w:rPr>
            <w:rStyle w:val="Hyperlink"/>
          </w:rPr>
          <w:t xml:space="preserve">Table 4</w:t>
        </w:r>
      </w:hyperlink>
      <w:r>
        <w:t xml:space="preserve"> </w:t>
      </w:r>
      <w:r>
        <w:t xml:space="preserve">lists the best five distinct control areas from each search.</w:t>
      </w:r>
      <w:r>
        <w:t xml:space="preserve"> </w:t>
      </w:r>
      <w:r>
        <w:t xml:space="preserve">For the RedBird district they tell a consistent story: every violent crime</w:t>
      </w:r>
      <w:r>
        <w:t xml:space="preserve"> </w:t>
      </w:r>
      <w:r>
        <w:t xml:space="preserve">alternative gives an estimate within two standard errors of zero, and the</w:t>
      </w:r>
      <w:r>
        <w:t xml:space="preserve"> </w:t>
      </w:r>
      <w:r>
        <w:t xml:space="preserve">property crime alternatives all point to a rise, from</w:t>
      </w:r>
      <w:r>
        <w:t xml:space="preserve"> </w:t>
      </w:r>
      <w:r>
        <w:t xml:space="preserve">+8 to</w:t>
      </w:r>
      <w:r>
        <w:t xml:space="preserve"> </w:t>
      </w:r>
      <w:r>
        <w:t xml:space="preserve">+59 crimes. For Roosevelt</w:t>
      </w:r>
      <w:r>
        <w:t xml:space="preserve"> </w:t>
      </w:r>
      <w:r>
        <w:t xml:space="preserve">Avenue they do not. Violent crime estimates range from</w:t>
      </w:r>
      <w:r>
        <w:t xml:space="preserve"> </w:t>
      </w:r>
      <w:r>
        <w:t xml:space="preserve">-79 to</w:t>
      </w:r>
      <w:r>
        <w:t xml:space="preserve"> </w:t>
      </w:r>
      <w:r>
        <w:t xml:space="preserve">+56, and property crime</w:t>
      </w:r>
      <w:r>
        <w:t xml:space="preserve"> </w:t>
      </w:r>
      <w:r>
        <w:t xml:space="preserve">estimates, all increases, from</w:t>
      </w:r>
      <w:r>
        <w:t xml:space="preserve"> </w:t>
      </w:r>
      <w:r>
        <w:t xml:space="preserve">+100 to</w:t>
      </w:r>
      <w:r>
        <w:t xml:space="preserve"> </w:t>
      </w:r>
      <w:r>
        <w:t xml:space="preserve">+328, although these areas</w:t>
      </w:r>
      <w:r>
        <w:t xml:space="preserve"> </w:t>
      </w:r>
      <w:r>
        <w:t xml:space="preserve">matched the corridor’s pre-period crime about as well as noise allows. The</w:t>
      </w:r>
      <w:r>
        <w:t xml:space="preserve"> </w:t>
      </w:r>
      <w:r>
        <w:t xml:space="preserve">spread between statistically equivalent controls is larger than any single</w:t>
      </w:r>
      <w:r>
        <w:t xml:space="preserve"> </w:t>
      </w:r>
      <w:r>
        <w:t xml:space="preserve">estimate’s standard error.</w:t>
      </w:r>
    </w:p>
    <w:p>
      <w:pPr>
        <w:pStyle w:val="BodyText"/>
      </w:pPr>
      <w:r>
        <w:t xml:space="preserve">Does the single-place cap drive the Queens property crime results? Every</w:t>
      </w:r>
      <w:r>
        <w:t xml:space="preserve"> </w:t>
      </w:r>
      <w:r>
        <w:t xml:space="preserve">passing property crime area under the 20% cap is in the same part of</w:t>
      </w:r>
      <w:r>
        <w:t xml:space="preserve"> </w:t>
      </w:r>
      <w:r>
        <w:t xml:space="preserve">southern Queens and implies an increase. Stricter caps change the answer</w:t>
      </w:r>
      <w:r>
        <w:t xml:space="preserve"> </w:t>
      </w:r>
      <w:r>
        <w:t xml:space="preserve">but leave nothing that passes: excluding blocks with more than 10% of the</w:t>
      </w:r>
      <w:r>
        <w:t xml:space="preserve"> </w:t>
      </w:r>
      <w:r>
        <w:t xml:space="preserve">corridor’s pre-period property crime</w:t>
      </w:r>
      <w:r>
        <w:t xml:space="preserve"> </w:t>
      </w:r>
      <w:r>
        <w:t xml:space="preserve">(44</w:t>
      </w:r>
      <w:r>
        <w:t xml:space="preserve"> </w:t>
      </w:r>
      <w:r>
        <w:t xml:space="preserve">blocks), the best distinct areas have violations from</w:t>
      </w:r>
      <w:r>
        <w:t xml:space="preserve"> </w:t>
      </w:r>
      <w:r>
        <w:t xml:space="preserve">1.06</w:t>
      </w:r>
      <w:r>
        <w:t xml:space="preserve"> </w:t>
      </w:r>
      <w:r>
        <w:t xml:space="preserve">to 1.29</w:t>
      </w:r>
      <w:r>
        <w:t xml:space="preserve"> </w:t>
      </w:r>
      <w:r>
        <w:t xml:space="preserve">and give -209, -106, +225, -235, and +295; at 5%</w:t>
      </w:r>
      <w:r>
        <w:t xml:space="preserve"> </w:t>
      </w:r>
      <w:r>
        <w:t xml:space="preserve">(90</w:t>
      </w:r>
      <w:r>
        <w:t xml:space="preserve"> </w:t>
      </w:r>
      <w:r>
        <w:t xml:space="preserve">blocks), violations from</w:t>
      </w:r>
      <w:r>
        <w:t xml:space="preserve"> </w:t>
      </w:r>
      <w:r>
        <w:t xml:space="preserve">1.32</w:t>
      </w:r>
      <w:r>
        <w:t xml:space="preserve"> </w:t>
      </w:r>
      <w:r>
        <w:t xml:space="preserve">and estimates of -507, -535, -319, -173, and -295. Block-level property crime on</w:t>
      </w:r>
      <w:r>
        <w:t xml:space="preserve"> </w:t>
      </w:r>
      <w:r>
        <w:t xml:space="preserve">commercial corridors is dominated by shoplifting at a small number of</w:t>
      </w:r>
      <w:r>
        <w:t xml:space="preserve"> </w:t>
      </w:r>
      <w:r>
        <w:t xml:space="preserve">stores, and stores open, close, and change how they report; for such series</w:t>
      </w:r>
      <w:r>
        <w:t xml:space="preserve"> </w:t>
      </w:r>
      <w:r>
        <w:t xml:space="preserve">an analyst would do better to analyze shoplifting separately from other</w:t>
      </w:r>
      <w:r>
        <w:t xml:space="preserve"> </w:t>
      </w:r>
      <w:r>
        <w:t xml:space="preserve">property crime.</w:t>
      </w:r>
    </w:p>
    <w:p>
      <w:pPr>
        <w:pStyle w:val="BodyText"/>
      </w:pPr>
      <w:r>
        <w:t xml:space="preserve">The practical reading is that a single WDD estimate understates the</w:t>
      </w:r>
      <w:r>
        <w:t xml:space="preserve"> </w:t>
      </w:r>
      <w:r>
        <w:t xml:space="preserve">uncertainty about the counterfactual when the treated series is as variable</w:t>
      </w:r>
      <w:r>
        <w:t xml:space="preserve"> </w:t>
      </w:r>
      <w:r>
        <w:t xml:space="preserve">as it is here, and that reporting the estimate against several passing</w:t>
      </w:r>
      <w:r>
        <w:t xml:space="preserve"> </w:t>
      </w:r>
      <w:r>
        <w:t xml:space="preserve">control areas is an honest and cheap check. For the RedBird district the</w:t>
      </w:r>
      <w:r>
        <w:t xml:space="preserve"> </w:t>
      </w:r>
      <w:r>
        <w:t xml:space="preserve">check supports the main estimates; for Operation Restore Roosevelt it says</w:t>
      </w:r>
      <w:r>
        <w:t xml:space="preserve"> </w:t>
      </w:r>
      <w:r>
        <w:t xml:space="preserve">the data do not pin down the operation’s effect, despite the large</w:t>
      </w:r>
      <w:r>
        <w:t xml:space="preserve"> </w:t>
      </w:r>
      <w:r>
        <w:t xml:space="preserve">reductions a city-wide comparison suggests.</w:t>
      </w:r>
    </w:p>
    <w:bookmarkEnd w:id="69"/>
    <w:bookmarkStart w:id="70" w:name="discussion"/>
    <w:p>
      <w:pPr>
        <w:pStyle w:val="Heading1"/>
      </w:pPr>
      <w:r>
        <w:t xml:space="preserve">8. Discussion</w:t>
      </w:r>
    </w:p>
    <w:p>
      <w:pPr>
        <w:pStyle w:val="FirstParagraph"/>
      </w:pPr>
      <w:r>
        <w:t xml:space="preserve">The WDD test is popular with crime analysts because it is simple: two</w:t>
      </w:r>
      <w:r>
        <w:t xml:space="preserve"> </w:t>
      </w:r>
      <w:r>
        <w:t xml:space="preserve">areas, two periods, four counts. This paper keeps that simplicity on the</w:t>
      </w:r>
      <w:r>
        <w:t xml:space="preserve"> </w:t>
      </w:r>
      <w:r>
        <w:t xml:space="preserve">output side, a single contiguous control area with no weights that can be</w:t>
      </w:r>
      <w:r>
        <w:t xml:space="preserve"> </w:t>
      </w:r>
      <w:r>
        <w:t xml:space="preserve">put on a map and shown at a CompStat meeting next to the treated area, and</w:t>
      </w:r>
      <w:r>
        <w:t xml:space="preserve"> </w:t>
      </w:r>
      <w:r>
        <w:t xml:space="preserve">moves the work of choosing it into a search that is fast enough to run on a</w:t>
      </w:r>
      <w:r>
        <w:t xml:space="preserve"> </w:t>
      </w:r>
      <w:r>
        <w:t xml:space="preserve">desktop computer in a few minutes. The control area is chosen the way a</w:t>
      </w:r>
      <w:r>
        <w:t xml:space="preserve"> </w:t>
      </w:r>
      <w:r>
        <w:t xml:space="preserve">synthetic control is, by tracking the treated area’s crime month by month</w:t>
      </w:r>
      <w:r>
        <w:t xml:space="preserve"> </w:t>
      </w:r>
      <w:r>
        <w:t xml:space="preserve">before the intervention, so the plot of the two series looks like a</w:t>
      </w:r>
      <w:r>
        <w:t xml:space="preserve"> </w:t>
      </w:r>
      <w:r>
        <w:t xml:space="preserve">synthetic control plot, and the running WDD after the intervention reads</w:t>
      </w:r>
      <w:r>
        <w:t xml:space="preserve"> </w:t>
      </w:r>
      <w:r>
        <w:t xml:space="preserve">directly as crimes prevented so far.</w:t>
      </w:r>
    </w:p>
    <w:p>
      <w:pPr>
        <w:pStyle w:val="BodyText"/>
      </w:pPr>
      <w:r>
        <w:t xml:space="preserve">Three lessons from building it are worth stating for anyone matching small</w:t>
      </w:r>
      <w:r>
        <w:t xml:space="preserve"> </w:t>
      </w:r>
      <w:r>
        <w:t xml:space="preserve">areas on pre-period crime, with this method or another.</w:t>
      </w:r>
    </w:p>
    <w:p>
      <w:pPr>
        <w:pStyle w:val="BodyText"/>
      </w:pPr>
      <w:r>
        <w:t xml:space="preserve">First, do not ask for the best possible pre-period fit. With thousands of</w:t>
      </w:r>
      <w:r>
        <w:t xml:space="preserve"> </w:t>
      </w:r>
      <w:r>
        <w:t xml:space="preserve">candidate areas, or thousands of donor weights, the best fit reproduces the</w:t>
      </w:r>
      <w:r>
        <w:t xml:space="preserve"> </w:t>
      </w:r>
      <w:r>
        <w:t xml:space="preserve">treated area’s noise, and in the simulations it estimates the effect no</w:t>
      </w:r>
      <w:r>
        <w:t xml:space="preserve"> </w:t>
      </w:r>
      <w:r>
        <w:t xml:space="preserve">better than a control that is merely as close as noise allows when trends</w:t>
      </w:r>
      <w:r>
        <w:t xml:space="preserve"> </w:t>
      </w:r>
      <w:r>
        <w:t xml:space="preserve">are shared, and worse when they are not. Microsynth’s exact</w:t>
      </w:r>
      <w:r>
        <w:t xml:space="preserve"> </w:t>
      </w:r>
      <w:r>
        <w:t xml:space="preserve">calibration has the same problem in a different form: its weights reproduce</w:t>
      </w:r>
      <w:r>
        <w:t xml:space="preserve"> </w:t>
      </w:r>
      <w:r>
        <w:t xml:space="preserve">every month of the treated series exactly, noise included. Judging the</w:t>
      </w:r>
      <w:r>
        <w:t xml:space="preserve"> </w:t>
      </w:r>
      <w:r>
        <w:t xml:space="preserve">match against noise (Poisson, scaled up for overdispersion), at more than</w:t>
      </w:r>
      <w:r>
        <w:t xml:space="preserve"> </w:t>
      </w:r>
      <w:r>
        <w:t xml:space="preserve">one time scale and for the level and trend, gives a control that tracks the</w:t>
      </w:r>
      <w:r>
        <w:t xml:space="preserve"> </w:t>
      </w:r>
      <w:r>
        <w:t xml:space="preserve">treated area without chasing its noise.</w:t>
      </w:r>
    </w:p>
    <w:p>
      <w:pPr>
        <w:pStyle w:val="BodyText"/>
      </w:pPr>
      <w:r>
        <w:t xml:space="preserve">Second, a matched control earns its keep when the treated area does not</w:t>
      </w:r>
      <w:r>
        <w:t xml:space="preserve"> </w:t>
      </w:r>
      <w:r>
        <w:t xml:space="preserve">share its surroundings’ trend. When neighborhoods share trends, a ring</w:t>
      </w:r>
      <w:r>
        <w:t xml:space="preserve"> </w:t>
      </w:r>
      <w:r>
        <w:t xml:space="preserve">around the buffer works as well or better, and is simpler. But</w:t>
      </w:r>
      <w:r>
        <w:t xml:space="preserve"> </w:t>
      </w:r>
      <w:r>
        <w:t xml:space="preserve">interventions are placed where crime has been rising, and then the ring and</w:t>
      </w:r>
      <w:r>
        <w:t xml:space="preserve"> </w:t>
      </w:r>
      <w:r>
        <w:t xml:space="preserve">the city-wide trend are badly biased, while the matched area removes most of</w:t>
      </w:r>
      <w:r>
        <w:t xml:space="preserve"> </w:t>
      </w:r>
      <w:r>
        <w:t xml:space="preserve">the bias. The analyst does not</w:t>
      </w:r>
      <w:r>
        <w:t xml:space="preserve"> </w:t>
      </w:r>
      <w:r>
        <w:t xml:space="preserve">know in advance which world they are in, and the pre-period plot of the</w:t>
      </w:r>
      <w:r>
        <w:t xml:space="preserve"> </w:t>
      </w:r>
      <w:r>
        <w:t xml:space="preserve">treated area against a ring is the way to find out.</w:t>
      </w:r>
    </w:p>
    <w:p>
      <w:pPr>
        <w:pStyle w:val="BodyText"/>
      </w:pPr>
      <w:r>
        <w:t xml:space="preserve">Third, look at the control area. The Queens property crime example shows</w:t>
      </w:r>
      <w:r>
        <w:t xml:space="preserve"> </w:t>
      </w:r>
      <w:r>
        <w:t xml:space="preserve">how a control dominated by one place can be wrecked by a change at that</w:t>
      </w:r>
      <w:r>
        <w:t xml:space="preserve"> </w:t>
      </w:r>
      <w:r>
        <w:t xml:space="preserve">place, and a map of the selected blocks makes the problem easy to see in a</w:t>
      </w:r>
      <w:r>
        <w:t xml:space="preserve"> </w:t>
      </w:r>
      <w:r>
        <w:t xml:space="preserve">way a weight vector over thousands of blocks does not. Capping any single</w:t>
      </w:r>
      <w:r>
        <w:t xml:space="preserve"> </w:t>
      </w:r>
      <w:r>
        <w:t xml:space="preserve">block’s share of the control’s crime is a design-stage rule that avoids the</w:t>
      </w:r>
      <w:r>
        <w:t xml:space="preserve"> </w:t>
      </w:r>
      <w:r>
        <w:t xml:space="preserve">worst of this without looking at the post-period.</w:t>
      </w:r>
    </w:p>
    <w:p>
      <w:pPr>
        <w:pStyle w:val="BodyText"/>
      </w:pPr>
      <w:r>
        <w:t xml:space="preserve">The method has limitations. The WDD’s Poisson standard error ignores</w:t>
      </w:r>
      <w:r>
        <w:t xml:space="preserve"> </w:t>
      </w:r>
      <w:r>
        <w:t xml:space="preserve">overdispersion (unless inflated by</w:t>
      </w:r>
      <w:r>
        <w:t xml:space="preserve"> </w:t>
      </w:r>
      <m:oMath>
        <m:rad>
          <m:radPr>
            <m:degHide m:val="on"/>
          </m:radPr>
          <m:deg/>
          <m:e>
            <m:r>
              <m:t>ϕ</m:t>
            </m:r>
          </m:e>
        </m:rad>
      </m:oMath>
      <w:r>
        <w:t xml:space="preserve">) and the uncertainty that</w:t>
      </w:r>
      <w:r>
        <w:t xml:space="preserve"> </w:t>
      </w:r>
      <w:r>
        <w:t xml:space="preserve">comes from choosing among many candidate areas, and when the treated area’s</w:t>
      </w:r>
      <w:r>
        <w:t xml:space="preserve"> </w:t>
      </w:r>
      <w:r>
        <w:t xml:space="preserve">trend is its own, the WDD intervals in the simulations cover the true effect</w:t>
      </w:r>
      <w:r>
        <w:t xml:space="preserve"> </w:t>
      </w:r>
      <w:r>
        <w:t xml:space="preserve">less often than their nominal 95% for every control, the contiguous one</w:t>
      </w:r>
      <w:r>
        <w:t xml:space="preserve"> </w:t>
      </w:r>
      <w:r>
        <w:t xml:space="preserve">included. Different passing areas also give noticeably</w:t>
      </w:r>
      <w:r>
        <w:t xml:space="preserve"> </w:t>
      </w:r>
      <w:r>
        <w:t xml:space="preserve">different estimates, as the alternatives in</w:t>
      </w:r>
      <w:r>
        <w:t xml:space="preserve"> </w:t>
      </w:r>
      <w:hyperlink w:anchor="tbl-alt">
        <w:r>
          <w:rPr>
            <w:rStyle w:val="Hyperlink"/>
          </w:rPr>
          <w:t xml:space="preserve">Table 4</w:t>
        </w:r>
      </w:hyperlink>
      <w:r>
        <w:t xml:space="preserve"> </w:t>
      </w:r>
      <w:r>
        <w:t xml:space="preserve">show. Inflating the</w:t>
      </w:r>
      <w:r>
        <w:t xml:space="preserve"> </w:t>
      </w:r>
      <w:r>
        <w:t xml:space="preserve">standard error, averaging the WDD over several distinct passing areas, or</w:t>
      </w:r>
      <w:r>
        <w:t xml:space="preserve"> </w:t>
      </w:r>
      <w:r>
        <w:t xml:space="preserve">calibrating intervals with placebo areas run through the same search are</w:t>
      </w:r>
      <w:r>
        <w:t xml:space="preserve"> </w:t>
      </w:r>
      <w:r>
        <w:t xml:space="preserve">natural next steps. The closer-neighbor constraint restricts areas to be</w:t>
      </w:r>
      <w:r>
        <w:t xml:space="preserve"> </w:t>
      </w:r>
      <w:r>
        <w:t xml:space="preserve">star-shaped around their centers, which excludes some connected shapes; the</w:t>
      </w:r>
      <w:r>
        <w:t xml:space="preserve"> </w:t>
      </w:r>
      <w:r>
        <w:t xml:space="preserve">scan over centers and the integer program’s freedom within each window make</w:t>
      </w:r>
      <w:r>
        <w:t xml:space="preserve"> </w:t>
      </w:r>
      <w:r>
        <w:t xml:space="preserve">this a mild restriction in practice, and it is what keeps each window’s</w:t>
      </w:r>
      <w:r>
        <w:t xml:space="preserve"> </w:t>
      </w:r>
      <w:r>
        <w:t xml:space="preserve">program small. The control is matched only on crime counts. Covariates such</w:t>
      </w:r>
      <w:r>
        <w:t xml:space="preserve"> </w:t>
      </w:r>
      <w:r>
        <w:t xml:space="preserve">as population or land use can be added as more balance constraints of the</w:t>
      </w:r>
      <w:r>
        <w:t xml:space="preserve"> </w:t>
      </w:r>
      <w:r>
        <w:t xml:space="preserve">same linear form. Finally, the method takes the treated area and the</w:t>
      </w:r>
      <w:r>
        <w:t xml:space="preserve"> </w:t>
      </w:r>
      <w:r>
        <w:t xml:space="preserve">intervention date as given; it does not address an intervention placed in</w:t>
      </w:r>
      <w:r>
        <w:t xml:space="preserve"> </w:t>
      </w:r>
      <w:r>
        <w:t xml:space="preserve">response to a short-term spike, where any pre-period match inherits the</w:t>
      </w:r>
      <w:r>
        <w:t xml:space="preserve"> </w:t>
      </w:r>
      <w:r>
        <w:t xml:space="preserve">spike.</w:t>
      </w:r>
    </w:p>
    <w:p>
      <w:pPr>
        <w:pStyle w:val="BodyText"/>
      </w:pPr>
      <w:r>
        <w:t xml:space="preserve">The code is a small Python package (</w:t>
      </w:r>
      <w:r>
        <w:rPr>
          <w:rStyle w:val="VerbatimChar"/>
        </w:rPr>
        <w:t xml:space="preserve">wddcontrol</w:t>
      </w:r>
      <w:r>
        <w:t xml:space="preserve">) that takes a matrix of</w:t>
      </w:r>
      <w:r>
        <w:t xml:space="preserve"> </w:t>
      </w:r>
      <w:r>
        <w:t xml:space="preserve">pre-period counts, the treated area’s series, an adjacency matrix, and a</w:t>
      </w:r>
      <w:r>
        <w:t xml:space="preserve"> </w:t>
      </w:r>
      <w:r>
        <w:t xml:space="preserve">mask of eligible units, and returns the control area and its alternatives.</w:t>
      </w:r>
      <w:r>
        <w:t xml:space="preserve"> </w:t>
      </w:r>
      <w:r>
        <w:t xml:space="preserve">It works with any small units, census blocks, grid cells, or street</w:t>
      </w:r>
      <w:r>
        <w:t xml:space="preserve"> </w:t>
      </w:r>
      <w:r>
        <w:t xml:space="preserve">segments, and any period length.</w:t>
      </w:r>
    </w:p>
    <w:bookmarkEnd w:id="70"/>
    <w:bookmarkStart w:id="71" w:name="ai-use-disclosure"/>
    <w:p>
      <w:pPr>
        <w:pStyle w:val="Heading1"/>
      </w:pPr>
      <w:r>
        <w:t xml:space="preserve">9. AI use disclosure</w:t>
      </w:r>
    </w:p>
    <w:p>
      <w:pPr>
        <w:pStyle w:val="FirstParagraph"/>
      </w:pPr>
      <w:r>
        <w:t xml:space="preserve">The code, analysis, and paper text were produced with Claude Code</w:t>
      </w:r>
      <w:r>
        <w:t xml:space="preserve"> </w:t>
      </w:r>
      <w:r>
        <w:t xml:space="preserve">(Anthropic) under my direction. I specified the research question, the</w:t>
      </w:r>
      <w:r>
        <w:t xml:space="preserve"> </w:t>
      </w:r>
      <w:r>
        <w:t xml:space="preserve">approach (a scan over the study region with an integer program inside each</w:t>
      </w:r>
      <w:r>
        <w:t xml:space="preserve"> </w:t>
      </w:r>
      <w:r>
        <w:t xml:space="preserve">window, matched on pre-period monthly trends), the WDD framing, the</w:t>
      </w:r>
      <w:r>
        <w:t xml:space="preserve"> </w:t>
      </w:r>
      <w:r>
        <w:t xml:space="preserve">comparison with microsynth, the running CompStat-style WDD, the use of</w:t>
      </w:r>
      <w:r>
        <w:t xml:space="preserve"> </w:t>
      </w:r>
      <w:r>
        <w:t xml:space="preserve">synthetic data, and the two case studies. All numeric results and figures</w:t>
      </w:r>
      <w:r>
        <w:t xml:space="preserve"> </w:t>
      </w:r>
      <w:r>
        <w:t xml:space="preserve">are computed from the data and scripts in the repository.</w:t>
      </w:r>
    </w:p>
    <w:bookmarkEnd w:id="71"/>
    <w:bookmarkStart w:id="121" w:name="references"/>
    <w:p>
      <w:pPr>
        <w:pStyle w:val="Heading1"/>
      </w:pPr>
      <w:r>
        <w:t xml:space="preserve">References</w:t>
      </w:r>
    </w:p>
    <w:bookmarkStart w:id="120" w:name="refs"/>
    <w:bookmarkStart w:id="73" w:name="ref-abadie2021"/>
    <w:p>
      <w:pPr>
        <w:pStyle w:val="Bibliography"/>
      </w:pPr>
      <w:r>
        <w:t xml:space="preserve">Abadie, Alberto. 2021.</w:t>
      </w:r>
      <w:r>
        <w:t xml:space="preserve"> </w:t>
      </w:r>
      <w:r>
        <w:t xml:space="preserve">“Using Synthetic Controls: Feasibility, Data Requirements, and Methodological Aspects.”</w:t>
      </w:r>
      <w:r>
        <w:t xml:space="preserve"> </w:t>
      </w:r>
      <w:r>
        <w:rPr>
          <w:iCs/>
          <w:i/>
        </w:rPr>
        <w:t xml:space="preserve">Journal of Economic Literature</w:t>
      </w:r>
      <w:r>
        <w:t xml:space="preserve"> </w:t>
      </w:r>
      <w:r>
        <w:t xml:space="preserve">59 (2): 391–425.</w:t>
      </w:r>
      <w:r>
        <w:t xml:space="preserve"> </w:t>
      </w:r>
      <w:hyperlink r:id="rId72">
        <w:r>
          <w:rPr>
            <w:rStyle w:val="Hyperlink"/>
          </w:rPr>
          <w:t xml:space="preserve">https://doi.org/10.1257/jel.20191450</w:t>
        </w:r>
      </w:hyperlink>
      <w:r>
        <w:t xml:space="preserve">.</w:t>
      </w:r>
    </w:p>
    <w:bookmarkEnd w:id="73"/>
    <w:bookmarkStart w:id="75" w:name="ref-abadie2010"/>
    <w:p>
      <w:pPr>
        <w:pStyle w:val="Bibliography"/>
      </w:pPr>
      <w:r>
        <w:t xml:space="preserve">Abadie, Alberto, Alexis Diamond, and Jens Hainmueller. 2010.</w:t>
      </w:r>
      <w:r>
        <w:t xml:space="preserve"> </w:t>
      </w:r>
      <w:r>
        <w:t xml:space="preserve">“Synthetic Control Methods for Comparative Case Studies: Estimating the Effect of</w:t>
      </w:r>
      <w:r>
        <w:t xml:space="preserve"> </w:t>
      </w:r>
      <w:r>
        <w:t xml:space="preserve">California’s</w:t>
      </w:r>
      <w:r>
        <w:t xml:space="preserve"> </w:t>
      </w:r>
      <w:r>
        <w:t xml:space="preserve">Tobacco Control Program.”</w:t>
      </w:r>
      <w:r>
        <w:t xml:space="preserve"> </w:t>
      </w:r>
      <w:r>
        <w:rPr>
          <w:iCs/>
          <w:i/>
        </w:rPr>
        <w:t xml:space="preserve">Journal of the American Statistical Association</w:t>
      </w:r>
      <w:r>
        <w:t xml:space="preserve"> </w:t>
      </w:r>
      <w:r>
        <w:t xml:space="preserve">105 (490): 493–505.</w:t>
      </w:r>
      <w:r>
        <w:t xml:space="preserve"> </w:t>
      </w:r>
      <w:hyperlink r:id="rId74">
        <w:r>
          <w:rPr>
            <w:rStyle w:val="Hyperlink"/>
          </w:rPr>
          <w:t xml:space="preserve">https://doi.org/10.1198/jasa.2009.ap08746</w:t>
        </w:r>
      </w:hyperlink>
      <w:r>
        <w:t xml:space="preserve">.</w:t>
      </w:r>
    </w:p>
    <w:bookmarkEnd w:id="75"/>
    <w:bookmarkStart w:id="77" w:name="ref-abadie2003"/>
    <w:p>
      <w:pPr>
        <w:pStyle w:val="Bibliography"/>
      </w:pPr>
      <w:r>
        <w:t xml:space="preserve">Abadie, Alberto, and Javier Gardeazabal. 2003.</w:t>
      </w:r>
      <w:r>
        <w:t xml:space="preserve"> </w:t>
      </w:r>
      <w:r>
        <w:t xml:space="preserve">“The Economic Costs of Conflict: A Case Study of the</w:t>
      </w:r>
      <w:r>
        <w:t xml:space="preserve"> </w:t>
      </w:r>
      <w:r>
        <w:t xml:space="preserve">Basque</w:t>
      </w:r>
      <w:r>
        <w:t xml:space="preserve"> </w:t>
      </w:r>
      <w:r>
        <w:t xml:space="preserve">Country.”</w:t>
      </w:r>
      <w:r>
        <w:t xml:space="preserve"> </w:t>
      </w:r>
      <w:r>
        <w:rPr>
          <w:iCs/>
          <w:i/>
        </w:rPr>
        <w:t xml:space="preserve">American Economic Review</w:t>
      </w:r>
      <w:r>
        <w:t xml:space="preserve"> </w:t>
      </w:r>
      <w:r>
        <w:t xml:space="preserve">93 (1): 113–32.</w:t>
      </w:r>
      <w:r>
        <w:t xml:space="preserve"> </w:t>
      </w:r>
      <w:hyperlink r:id="rId76">
        <w:r>
          <w:rPr>
            <w:rStyle w:val="Hyperlink"/>
          </w:rPr>
          <w:t xml:space="preserve">https://doi.org/10.1257/000282803321455188</w:t>
        </w:r>
      </w:hyperlink>
      <w:r>
        <w:t xml:space="preserve">.</w:t>
      </w:r>
    </w:p>
    <w:bookmarkEnd w:id="77"/>
    <w:bookmarkStart w:id="79" w:name="ref-bowers2003"/>
    <w:p>
      <w:pPr>
        <w:pStyle w:val="Bibliography"/>
      </w:pPr>
      <w:r>
        <w:t xml:space="preserve">Bowers, Kate J., and Shane D. Johnson. 2003.</w:t>
      </w:r>
      <w:r>
        <w:t xml:space="preserve"> </w:t>
      </w:r>
      <w:r>
        <w:t xml:space="preserve">“Measuring the Geographical Displacement and Diffusion of Benefit Effects of Crime Prevention Activity.”</w:t>
      </w:r>
      <w:r>
        <w:t xml:space="preserve"> </w:t>
      </w:r>
      <w:r>
        <w:rPr>
          <w:iCs/>
          <w:i/>
        </w:rPr>
        <w:t xml:space="preserve">Journal of Quantitative Criminology</w:t>
      </w:r>
      <w:r>
        <w:t xml:space="preserve"> </w:t>
      </w:r>
      <w:r>
        <w:t xml:space="preserve">19 (3): 275–301.</w:t>
      </w:r>
      <w:r>
        <w:t xml:space="preserve"> </w:t>
      </w:r>
      <w:hyperlink r:id="rId78">
        <w:r>
          <w:rPr>
            <w:rStyle w:val="Hyperlink"/>
          </w:rPr>
          <w:t xml:space="preserve">https://doi.org/10.1023/A:1024909009240</w:t>
        </w:r>
      </w:hyperlink>
      <w:r>
        <w:t xml:space="preserve">.</w:t>
      </w:r>
    </w:p>
    <w:bookmarkEnd w:id="79"/>
    <w:bookmarkStart w:id="81" w:name="ref-dallas2025pid"/>
    <w:p>
      <w:pPr>
        <w:pStyle w:val="Bibliography"/>
      </w:pPr>
      <w:r>
        <w:t xml:space="preserve">City of Dallas. 2025.</w:t>
      </w:r>
      <w:r>
        <w:t xml:space="preserve"> </w:t>
      </w:r>
      <w:r>
        <w:t xml:space="preserve">“Resolution Authorizing Creation of the</w:t>
      </w:r>
      <w:r>
        <w:t xml:space="preserve"> </w:t>
      </w:r>
      <w:r>
        <w:t xml:space="preserve">RedBird</w:t>
      </w:r>
      <w:r>
        <w:t xml:space="preserve"> </w:t>
      </w:r>
      <w:r>
        <w:t xml:space="preserve">Public Improvement District (File 25-1154A).”</w:t>
      </w:r>
      <w:r>
        <w:t xml:space="preserve"> </w:t>
      </w:r>
      <w:hyperlink r:id="rId80">
        <w:r>
          <w:rPr>
            <w:rStyle w:val="Hyperlink"/>
          </w:rPr>
          <w:t xml:space="preserve">https://cityofdallas.legistar.com/LegislationDetail.aspx?ID=7294042&amp;GUID=A7181220-17E1-4EA3-9523-94E2EB9EB965</w:t>
        </w:r>
      </w:hyperlink>
      <w:r>
        <w:t xml:space="preserve">.</w:t>
      </w:r>
    </w:p>
    <w:bookmarkEnd w:id="81"/>
    <w:bookmarkStart w:id="83" w:name="ref-nyc2024roosevelt"/>
    <w:p>
      <w:pPr>
        <w:pStyle w:val="Bibliography"/>
      </w:pPr>
      <w:r>
        <w:t xml:space="preserve">City of New York, Office of the Mayor. 2024.</w:t>
      </w:r>
      <w:r>
        <w:t xml:space="preserve"> </w:t>
      </w:r>
      <w:r>
        <w:t xml:space="preserve">“Mayor</w:t>
      </w:r>
      <w:r>
        <w:t xml:space="preserve"> </w:t>
      </w:r>
      <w:r>
        <w:t xml:space="preserve">Adams</w:t>
      </w:r>
      <w:r>
        <w:t xml:space="preserve">,</w:t>
      </w:r>
      <w:r>
        <w:t xml:space="preserve"> </w:t>
      </w:r>
      <w:r>
        <w:t xml:space="preserve">Councilmember</w:t>
      </w:r>
      <w:r>
        <w:t xml:space="preserve"> </w:t>
      </w:r>
      <w:r>
        <w:t xml:space="preserve">Moya</w:t>
      </w:r>
      <w:r>
        <w:t xml:space="preserve"> </w:t>
      </w:r>
      <w:r>
        <w:t xml:space="preserve">Launch Multi-Agency Operation to Address Urgent Public Safety and Quality-of-Life Concerns Along</w:t>
      </w:r>
      <w:r>
        <w:t xml:space="preserve"> </w:t>
      </w:r>
      <w:r>
        <w:t xml:space="preserve">Roosevelt Avenue</w:t>
      </w:r>
      <w:r>
        <w:t xml:space="preserve"> </w:t>
      </w:r>
      <w:r>
        <w:t xml:space="preserve">in</w:t>
      </w:r>
      <w:r>
        <w:t xml:space="preserve"> </w:t>
      </w:r>
      <w:r>
        <w:t xml:space="preserve">Queens</w:t>
      </w:r>
      <w:r>
        <w:t xml:space="preserve">.”</w:t>
      </w:r>
      <w:r>
        <w:t xml:space="preserve"> </w:t>
      </w:r>
      <w:hyperlink r:id="rId82">
        <w:r>
          <w:rPr>
            <w:rStyle w:val="Hyperlink"/>
          </w:rPr>
          <w:t xml:space="preserve">https://www.nyc.gov/mayors-office/news/2024/10/mayor-adams-councilmember-moya-launch-multi-agency-operation-address-urgent-public-safety-and</w:t>
        </w:r>
      </w:hyperlink>
      <w:r>
        <w:t xml:space="preserve">.</w:t>
      </w:r>
    </w:p>
    <w:bookmarkEnd w:id="83"/>
    <w:bookmarkStart w:id="85" w:name="ref-cook2011"/>
    <w:p>
      <w:pPr>
        <w:pStyle w:val="Bibliography"/>
      </w:pPr>
      <w:r>
        <w:t xml:space="preserve">Cook, Philip J., and John MacDonald. 2011.</w:t>
      </w:r>
      <w:r>
        <w:t xml:space="preserve"> </w:t>
      </w:r>
      <w:r>
        <w:t xml:space="preserve">“Public Safety Through Private Action: An Economic Assessment of</w:t>
      </w:r>
      <w:r>
        <w:t xml:space="preserve"> </w:t>
      </w:r>
      <w:r>
        <w:t xml:space="preserve">BIDs</w:t>
      </w:r>
      <w:r>
        <w:t xml:space="preserve">.”</w:t>
      </w:r>
      <w:r>
        <w:t xml:space="preserve"> </w:t>
      </w:r>
      <w:r>
        <w:rPr>
          <w:iCs/>
          <w:i/>
        </w:rPr>
        <w:t xml:space="preserve">The Economic Journal</w:t>
      </w:r>
      <w:r>
        <w:t xml:space="preserve"> </w:t>
      </w:r>
      <w:r>
        <w:t xml:space="preserve">121 (552): 445–62.</w:t>
      </w:r>
      <w:r>
        <w:t xml:space="preserve"> </w:t>
      </w:r>
      <w:hyperlink r:id="rId84">
        <w:r>
          <w:rPr>
            <w:rStyle w:val="Hyperlink"/>
          </w:rPr>
          <w:t xml:space="preserve">https://doi.org/10.1111/j.1468-0297.2011.02420.x</w:t>
        </w:r>
      </w:hyperlink>
      <w:r>
        <w:t xml:space="preserve">.</w:t>
      </w:r>
    </w:p>
    <w:bookmarkEnd w:id="85"/>
    <w:bookmarkStart w:id="87" w:name="ref-deville1992"/>
    <w:p>
      <w:pPr>
        <w:pStyle w:val="Bibliography"/>
      </w:pPr>
      <w:r>
        <w:t xml:space="preserve">Deville, Jean-Claude, and Carl-Erik Särndal. 1992.</w:t>
      </w:r>
      <w:r>
        <w:t xml:space="preserve"> </w:t>
      </w:r>
      <w:r>
        <w:t xml:space="preserve">“Calibration Estimators in Survey Sampling.”</w:t>
      </w:r>
      <w:r>
        <w:t xml:space="preserve"> </w:t>
      </w:r>
      <w:r>
        <w:rPr>
          <w:iCs/>
          <w:i/>
        </w:rPr>
        <w:t xml:space="preserve">Journal of the American Statistical Association</w:t>
      </w:r>
      <w:r>
        <w:t xml:space="preserve"> </w:t>
      </w:r>
      <w:r>
        <w:t xml:space="preserve">87 (418): 376–82.</w:t>
      </w:r>
      <w:r>
        <w:t xml:space="preserve"> </w:t>
      </w:r>
      <w:hyperlink r:id="rId86">
        <w:r>
          <w:rPr>
            <w:rStyle w:val="Hyperlink"/>
          </w:rPr>
          <w:t xml:space="preserve">https://doi.org/10.1080/01621459.1992.10475217</w:t>
        </w:r>
      </w:hyperlink>
      <w:r>
        <w:t xml:space="preserve">.</w:t>
      </w:r>
    </w:p>
    <w:bookmarkEnd w:id="87"/>
    <w:bookmarkStart w:id="89" w:name="ref-guerette2009"/>
    <w:p>
      <w:pPr>
        <w:pStyle w:val="Bibliography"/>
      </w:pPr>
      <w:r>
        <w:t xml:space="preserve">Guerette, Rob T., and Kate J. Bowers. 2009.</w:t>
      </w:r>
      <w:r>
        <w:t xml:space="preserve"> </w:t>
      </w:r>
      <w:r>
        <w:t xml:space="preserve">“Assessing the Extent of Crime Displacement and Diffusion of Benefits: A Review of Situational Crime Prevention Evaluations.”</w:t>
      </w:r>
      <w:r>
        <w:t xml:space="preserve"> </w:t>
      </w:r>
      <w:r>
        <w:rPr>
          <w:iCs/>
          <w:i/>
        </w:rPr>
        <w:t xml:space="preserve">Criminology</w:t>
      </w:r>
      <w:r>
        <w:t xml:space="preserve"> </w:t>
      </w:r>
      <w:r>
        <w:t xml:space="preserve">47 (4): 1331–68.</w:t>
      </w:r>
      <w:r>
        <w:t xml:space="preserve"> </w:t>
      </w:r>
      <w:hyperlink r:id="rId88">
        <w:r>
          <w:rPr>
            <w:rStyle w:val="Hyperlink"/>
          </w:rPr>
          <w:t xml:space="preserve">https://doi.org/10.1111/j.1745-9125.2009.00177.x</w:t>
        </w:r>
      </w:hyperlink>
      <w:r>
        <w:t xml:space="preserve">.</w:t>
      </w:r>
    </w:p>
    <w:bookmarkEnd w:id="89"/>
    <w:bookmarkStart w:id="91" w:name="ref-huangfu2018"/>
    <w:p>
      <w:pPr>
        <w:pStyle w:val="Bibliography"/>
      </w:pPr>
      <w:r>
        <w:t xml:space="preserve">Huangfu, Qi, and J. A. Julian Hall. 2018.</w:t>
      </w:r>
      <w:r>
        <w:t xml:space="preserve"> </w:t>
      </w:r>
      <w:r>
        <w:t xml:space="preserve">“Parallelizing the Dual Revised Simplex Method.”</w:t>
      </w:r>
      <w:r>
        <w:t xml:space="preserve"> </w:t>
      </w:r>
      <w:r>
        <w:rPr>
          <w:iCs/>
          <w:i/>
        </w:rPr>
        <w:t xml:space="preserve">Mathematical Programming Computation</w:t>
      </w:r>
      <w:r>
        <w:t xml:space="preserve"> </w:t>
      </w:r>
      <w:r>
        <w:t xml:space="preserve">10 (1): 119–42.</w:t>
      </w:r>
      <w:r>
        <w:t xml:space="preserve"> </w:t>
      </w:r>
      <w:hyperlink r:id="rId90">
        <w:r>
          <w:rPr>
            <w:rStyle w:val="Hyperlink"/>
          </w:rPr>
          <w:t xml:space="preserve">https://doi.org/10.1007/s12532-017-0130-5</w:t>
        </w:r>
      </w:hyperlink>
      <w:r>
        <w:t xml:space="preserve">.</w:t>
      </w:r>
    </w:p>
    <w:bookmarkEnd w:id="91"/>
    <w:bookmarkStart w:id="93" w:name="ref-kulldorff1997"/>
    <w:p>
      <w:pPr>
        <w:pStyle w:val="Bibliography"/>
      </w:pPr>
      <w:r>
        <w:t xml:space="preserve">Kulldorff, Martin. 1997.</w:t>
      </w:r>
      <w:r>
        <w:t xml:space="preserve"> </w:t>
      </w:r>
      <w:r>
        <w:t xml:space="preserve">“A Spatial Scan Statistic.”</w:t>
      </w:r>
      <w:r>
        <w:t xml:space="preserve"> </w:t>
      </w:r>
      <w:r>
        <w:rPr>
          <w:iCs/>
          <w:i/>
        </w:rPr>
        <w:t xml:space="preserve">Communications in Statistics – Theory and Methods</w:t>
      </w:r>
      <w:r>
        <w:t xml:space="preserve"> </w:t>
      </w:r>
      <w:r>
        <w:t xml:space="preserve">26 (6): 1481–96.</w:t>
      </w:r>
      <w:r>
        <w:t xml:space="preserve"> </w:t>
      </w:r>
      <w:hyperlink r:id="rId92">
        <w:r>
          <w:rPr>
            <w:rStyle w:val="Hyperlink"/>
          </w:rPr>
          <w:t xml:space="preserve">https://doi.org/10.1080/03610929708831995</w:t>
        </w:r>
      </w:hyperlink>
      <w:r>
        <w:t xml:space="preserve">.</w:t>
      </w:r>
    </w:p>
    <w:bookmarkEnd w:id="93"/>
    <w:bookmarkStart w:id="95" w:name="ref-macdonald2010"/>
    <w:p>
      <w:pPr>
        <w:pStyle w:val="Bibliography"/>
      </w:pPr>
      <w:r>
        <w:t xml:space="preserve">MacDonald, John, Daniela Golinelli, Robert J. Stokes, and Ricky Bluthenthal. 2010.</w:t>
      </w:r>
      <w:r>
        <w:t xml:space="preserve"> </w:t>
      </w:r>
      <w:r>
        <w:t xml:space="preserve">“The Effect of Business Improvement Districts on the Incidence of Violent Crimes.”</w:t>
      </w:r>
      <w:r>
        <w:t xml:space="preserve"> </w:t>
      </w:r>
      <w:r>
        <w:rPr>
          <w:iCs/>
          <w:i/>
        </w:rPr>
        <w:t xml:space="preserve">Injury Prevention</w:t>
      </w:r>
      <w:r>
        <w:t xml:space="preserve"> </w:t>
      </w:r>
      <w:r>
        <w:t xml:space="preserve">16 (5): 327–32.</w:t>
      </w:r>
      <w:r>
        <w:t xml:space="preserve"> </w:t>
      </w:r>
      <w:hyperlink r:id="rId94">
        <w:r>
          <w:rPr>
            <w:rStyle w:val="Hyperlink"/>
          </w:rPr>
          <w:t xml:space="preserve">https://doi.org/10.1136/ip.2009.024943</w:t>
        </w:r>
      </w:hyperlink>
      <w:r>
        <w:t xml:space="preserve">.</w:t>
      </w:r>
    </w:p>
    <w:bookmarkEnd w:id="95"/>
    <w:bookmarkStart w:id="97" w:name="ref-qns2025"/>
    <w:p>
      <w:pPr>
        <w:pStyle w:val="Bibliography"/>
      </w:pPr>
      <w:r>
        <w:t xml:space="preserve">QNS. 2025.</w:t>
      </w:r>
      <w:r>
        <w:t xml:space="preserve"> </w:t>
      </w:r>
      <w:r>
        <w:t xml:space="preserve">“Mayor</w:t>
      </w:r>
      <w:r>
        <w:t xml:space="preserve"> </w:t>
      </w:r>
      <w:r>
        <w:t xml:space="preserve">Adams</w:t>
      </w:r>
      <w:r>
        <w:t xml:space="preserve"> </w:t>
      </w:r>
      <w:r>
        <w:t xml:space="preserve">Shares 90-Day Progress of</w:t>
      </w:r>
      <w:r>
        <w:t xml:space="preserve"> </w:t>
      </w:r>
      <w:r>
        <w:t xml:space="preserve">Operation Restore Roosevelt</w:t>
      </w:r>
      <w:r>
        <w:t xml:space="preserve">.”</w:t>
      </w:r>
      <w:r>
        <w:t xml:space="preserve"> </w:t>
      </w:r>
      <w:hyperlink r:id="rId96">
        <w:r>
          <w:rPr>
            <w:rStyle w:val="Hyperlink"/>
          </w:rPr>
          <w:t xml:space="preserve">https://qns.com/2025/01/mayor-adams-90-day-operation-restore-roosevelt/</w:t>
        </w:r>
      </w:hyperlink>
      <w:r>
        <w:t xml:space="preserve">.</w:t>
      </w:r>
    </w:p>
    <w:bookmarkEnd w:id="97"/>
    <w:bookmarkStart w:id="99" w:name="ref-queenseagle2024"/>
    <w:p>
      <w:pPr>
        <w:pStyle w:val="Bibliography"/>
      </w:pPr>
      <w:r>
        <w:t xml:space="preserve">Queens Daily Eagle. 2024.</w:t>
      </w:r>
      <w:r>
        <w:t xml:space="preserve"> </w:t>
      </w:r>
      <w:r>
        <w:t xml:space="preserve">“Mayor Launches Controversial Crackdown on</w:t>
      </w:r>
      <w:r>
        <w:t xml:space="preserve"> </w:t>
      </w:r>
      <w:r>
        <w:t xml:space="preserve">Roosevelt Ave</w:t>
      </w:r>
      <w:r>
        <w:t xml:space="preserve">.”</w:t>
      </w:r>
      <w:r>
        <w:t xml:space="preserve"> </w:t>
      </w:r>
      <w:hyperlink r:id="rId98">
        <w:r>
          <w:rPr>
            <w:rStyle w:val="Hyperlink"/>
          </w:rPr>
          <w:t xml:space="preserve">https://queenseagle.com/all/2024/10/17/mayor-launches-controversial-crackdown-on-roosevelt-ave</w:t>
        </w:r>
      </w:hyperlink>
      <w:r>
        <w:t xml:space="preserve">.</w:t>
      </w:r>
    </w:p>
    <w:bookmarkEnd w:id="99"/>
    <w:bookmarkStart w:id="101" w:name="ref-robbins2021"/>
    <w:p>
      <w:pPr>
        <w:pStyle w:val="Bibliography"/>
      </w:pPr>
      <w:r>
        <w:t xml:space="preserve">Robbins, Michael W., and Steven Davenport. 2021.</w:t>
      </w:r>
      <w:r>
        <w:t xml:space="preserve"> </w:t>
      </w:r>
      <w:r>
        <w:t xml:space="preserve">“Microsynth: Synthetic Control Methods for Disaggregated and Micro-Level Data in</w:t>
      </w:r>
      <w:r>
        <w:t xml:space="preserve"> </w:t>
      </w:r>
      <w:r>
        <w:t xml:space="preserve">R</w:t>
      </w:r>
      <w:r>
        <w:t xml:space="preserve">.”</w:t>
      </w:r>
      <w:r>
        <w:t xml:space="preserve"> </w:t>
      </w:r>
      <w:r>
        <w:rPr>
          <w:iCs/>
          <w:i/>
        </w:rPr>
        <w:t xml:space="preserve">Journal of Statistical Software</w:t>
      </w:r>
      <w:r>
        <w:t xml:space="preserve"> </w:t>
      </w:r>
      <w:r>
        <w:t xml:space="preserve">97 (2): 1–31.</w:t>
      </w:r>
      <w:r>
        <w:t xml:space="preserve"> </w:t>
      </w:r>
      <w:hyperlink r:id="rId100">
        <w:r>
          <w:rPr>
            <w:rStyle w:val="Hyperlink"/>
          </w:rPr>
          <w:t xml:space="preserve">https://doi.org/10.18637/jss.v097.i02</w:t>
        </w:r>
      </w:hyperlink>
      <w:r>
        <w:t xml:space="preserve">.</w:t>
      </w:r>
    </w:p>
    <w:bookmarkEnd w:id="101"/>
    <w:bookmarkStart w:id="103" w:name="ref-robbins2017"/>
    <w:p>
      <w:pPr>
        <w:pStyle w:val="Bibliography"/>
      </w:pPr>
      <w:r>
        <w:t xml:space="preserve">Robbins, Michael W., Jessica Saunders, and Beau Kilmer. 2017.</w:t>
      </w:r>
      <w:r>
        <w:t xml:space="preserve"> </w:t>
      </w:r>
      <w:r>
        <w:t xml:space="preserve">“A Framework for Synthetic Control Methods with High-Dimensional, Micro-Level Data: Evaluating a Neighborhood-Specific Crime Intervention.”</w:t>
      </w:r>
      <w:r>
        <w:t xml:space="preserve"> </w:t>
      </w:r>
      <w:r>
        <w:rPr>
          <w:iCs/>
          <w:i/>
        </w:rPr>
        <w:t xml:space="preserve">Journal of the American Statistical Association</w:t>
      </w:r>
      <w:r>
        <w:t xml:space="preserve"> </w:t>
      </w:r>
      <w:r>
        <w:t xml:space="preserve">112 (517): 109–26.</w:t>
      </w:r>
      <w:r>
        <w:t xml:space="preserve"> </w:t>
      </w:r>
      <w:hyperlink r:id="rId102">
        <w:r>
          <w:rPr>
            <w:rStyle w:val="Hyperlink"/>
          </w:rPr>
          <w:t xml:space="preserve">https://doi.org/10.1080/01621459.2016.1213634</w:t>
        </w:r>
      </w:hyperlink>
      <w:r>
        <w:t xml:space="preserve">.</w:t>
      </w:r>
    </w:p>
    <w:bookmarkEnd w:id="103"/>
    <w:bookmarkStart w:id="105" w:name="ref-saunders2015"/>
    <w:p>
      <w:pPr>
        <w:pStyle w:val="Bibliography"/>
      </w:pPr>
      <w:r>
        <w:t xml:space="preserve">Saunders, Jessica, Russell Lundberg, Anthony A. Braga, Greg Ridgeway, and Jeremy Miles. 2015.</w:t>
      </w:r>
      <w:r>
        <w:t xml:space="preserve"> </w:t>
      </w:r>
      <w:r>
        <w:t xml:space="preserve">“A Synthetic Control Approach to Evaluating Place-Based Crime Interventions.”</w:t>
      </w:r>
      <w:r>
        <w:t xml:space="preserve"> </w:t>
      </w:r>
      <w:r>
        <w:rPr>
          <w:iCs/>
          <w:i/>
        </w:rPr>
        <w:t xml:space="preserve">Journal of Quantitative Criminology</w:t>
      </w:r>
      <w:r>
        <w:t xml:space="preserve"> </w:t>
      </w:r>
      <w:r>
        <w:t xml:space="preserve">31 (3): 413–34.</w:t>
      </w:r>
      <w:r>
        <w:t xml:space="preserve"> </w:t>
      </w:r>
      <w:hyperlink r:id="rId104">
        <w:r>
          <w:rPr>
            <w:rStyle w:val="Hyperlink"/>
          </w:rPr>
          <w:t xml:space="preserve">https://doi.org/10.1007/s10940-014-9226-5</w:t>
        </w:r>
      </w:hyperlink>
      <w:r>
        <w:t xml:space="preserve">.</w:t>
      </w:r>
    </w:p>
    <w:bookmarkEnd w:id="105"/>
    <w:bookmarkStart w:id="107" w:name="ref-shirabe2005"/>
    <w:p>
      <w:pPr>
        <w:pStyle w:val="Bibliography"/>
      </w:pPr>
      <w:r>
        <w:t xml:space="preserve">Shirabe, Takeshi. 2005.</w:t>
      </w:r>
      <w:r>
        <w:t xml:space="preserve"> </w:t>
      </w:r>
      <w:r>
        <w:t xml:space="preserve">“A Model of Contiguity for Spatial Unit Allocation.”</w:t>
      </w:r>
      <w:r>
        <w:t xml:space="preserve"> </w:t>
      </w:r>
      <w:r>
        <w:rPr>
          <w:iCs/>
          <w:i/>
        </w:rPr>
        <w:t xml:space="preserve">Geographical Analysis</w:t>
      </w:r>
      <w:r>
        <w:t xml:space="preserve"> </w:t>
      </w:r>
      <w:r>
        <w:t xml:space="preserve">37 (1): 2–16.</w:t>
      </w:r>
      <w:r>
        <w:t xml:space="preserve"> </w:t>
      </w:r>
      <w:hyperlink r:id="rId106">
        <w:r>
          <w:rPr>
            <w:rStyle w:val="Hyperlink"/>
          </w:rPr>
          <w:t xml:space="preserve">https://doi.org/10.1111/j.1538-4632.2005.00605.x</w:t>
        </w:r>
      </w:hyperlink>
      <w:r>
        <w:t xml:space="preserve">.</w:t>
      </w:r>
    </w:p>
    <w:bookmarkEnd w:id="107"/>
    <w:bookmarkStart w:id="109" w:name="ref-tango2005"/>
    <w:p>
      <w:pPr>
        <w:pStyle w:val="Bibliography"/>
      </w:pPr>
      <w:r>
        <w:t xml:space="preserve">Tango, Toshiro, and Kunihiko Takahashi. 2005.</w:t>
      </w:r>
      <w:r>
        <w:t xml:space="preserve"> </w:t>
      </w:r>
      <w:r>
        <w:t xml:space="preserve">“A Flexibly Shaped Spatial Scan Statistic for Detecting Clusters.”</w:t>
      </w:r>
      <w:r>
        <w:t xml:space="preserve"> </w:t>
      </w:r>
      <w:r>
        <w:rPr>
          <w:iCs/>
          <w:i/>
        </w:rPr>
        <w:t xml:space="preserve">International Journal of Health Geographics</w:t>
      </w:r>
      <w:r>
        <w:t xml:space="preserve"> </w:t>
      </w:r>
      <w:r>
        <w:t xml:space="preserve">4: 11.</w:t>
      </w:r>
      <w:r>
        <w:t xml:space="preserve"> </w:t>
      </w:r>
      <w:hyperlink r:id="rId108">
        <w:r>
          <w:rPr>
            <w:rStyle w:val="Hyperlink"/>
          </w:rPr>
          <w:t xml:space="preserve">https://doi.org/10.1186/1476-072X-4-11</w:t>
        </w:r>
      </w:hyperlink>
      <w:r>
        <w:t xml:space="preserve">.</w:t>
      </w:r>
    </w:p>
    <w:bookmarkEnd w:id="109"/>
    <w:bookmarkStart w:id="111" w:name="ref-labreport2026"/>
    <w:p>
      <w:pPr>
        <w:pStyle w:val="Bibliography"/>
      </w:pPr>
      <w:r>
        <w:t xml:space="preserve">The LAB Report Dallas. 2026.</w:t>
      </w:r>
      <w:r>
        <w:t xml:space="preserve"> </w:t>
      </w:r>
      <w:r>
        <w:t xml:space="preserve">“Red Bird,</w:t>
      </w:r>
      <w:r>
        <w:t xml:space="preserve"> </w:t>
      </w:r>
      <w:r>
        <w:t xml:space="preserve">Oak Cliff</w:t>
      </w:r>
      <w:r>
        <w:t xml:space="preserve"> </w:t>
      </w:r>
      <w:r>
        <w:t xml:space="preserve">Redevelopment.”</w:t>
      </w:r>
      <w:r>
        <w:t xml:space="preserve"> </w:t>
      </w:r>
      <w:hyperlink r:id="rId110">
        <w:r>
          <w:rPr>
            <w:rStyle w:val="Hyperlink"/>
          </w:rPr>
          <w:t xml:space="preserve">https://labreportdallas.com/neighborhoods/red-bird-oak-cliff-redevelopment/</w:t>
        </w:r>
      </w:hyperlink>
      <w:r>
        <w:t xml:space="preserve">.</w:t>
      </w:r>
    </w:p>
    <w:bookmarkEnd w:id="111"/>
    <w:bookmarkStart w:id="113" w:name="ref-validi2022"/>
    <w:p>
      <w:pPr>
        <w:pStyle w:val="Bibliography"/>
      </w:pPr>
      <w:r>
        <w:t xml:space="preserve">Validi, Hamidreza, Austin Buchanan, and Eugene Lykhovyd. 2022.</w:t>
      </w:r>
      <w:r>
        <w:t xml:space="preserve"> </w:t>
      </w:r>
      <w:r>
        <w:t xml:space="preserve">“Imposing Contiguity Constraints in Political Districting Models.”</w:t>
      </w:r>
      <w:r>
        <w:t xml:space="preserve"> </w:t>
      </w:r>
      <w:r>
        <w:rPr>
          <w:iCs/>
          <w:i/>
        </w:rPr>
        <w:t xml:space="preserve">Operations Research</w:t>
      </w:r>
      <w:r>
        <w:t xml:space="preserve"> </w:t>
      </w:r>
      <w:r>
        <w:t xml:space="preserve">70 (2): 867–92.</w:t>
      </w:r>
      <w:r>
        <w:t xml:space="preserve"> </w:t>
      </w:r>
      <w:hyperlink r:id="rId112">
        <w:r>
          <w:rPr>
            <w:rStyle w:val="Hyperlink"/>
          </w:rPr>
          <w:t xml:space="preserve">https://doi.org/10.1287/opre.2021.2141</w:t>
        </w:r>
      </w:hyperlink>
      <w:r>
        <w:t xml:space="preserve">.</w:t>
      </w:r>
    </w:p>
    <w:bookmarkEnd w:id="113"/>
    <w:bookmarkStart w:id="115" w:name="ref-wheeler2019pmed"/>
    <w:p>
      <w:pPr>
        <w:pStyle w:val="Bibliography"/>
      </w:pPr>
      <w:r>
        <w:t xml:space="preserve">Wheeler, Andrew P. 2019.</w:t>
      </w:r>
      <w:r>
        <w:t xml:space="preserve"> </w:t>
      </w:r>
      <w:r>
        <w:t xml:space="preserve">“Creating Optimal Patrol Areas Using the p-Median Model.”</w:t>
      </w:r>
      <w:r>
        <w:t xml:space="preserve"> </w:t>
      </w:r>
      <w:r>
        <w:rPr>
          <w:iCs/>
          <w:i/>
        </w:rPr>
        <w:t xml:space="preserve">Policing: An International Journal</w:t>
      </w:r>
      <w:r>
        <w:t xml:space="preserve"> </w:t>
      </w:r>
      <w:r>
        <w:t xml:space="preserve">42 (3): 318–33.</w:t>
      </w:r>
      <w:r>
        <w:t xml:space="preserve"> </w:t>
      </w:r>
      <w:hyperlink r:id="rId114">
        <w:r>
          <w:rPr>
            <w:rStyle w:val="Hyperlink"/>
          </w:rPr>
          <w:t xml:space="preserve">https://doi.org/10.1108/PIJPSM-02-2018-0027</w:t>
        </w:r>
      </w:hyperlink>
      <w:r>
        <w:t xml:space="preserve">.</w:t>
      </w:r>
    </w:p>
    <w:bookmarkEnd w:id="115"/>
    <w:bookmarkStart w:id="117" w:name="ref-wheeler2024compstat"/>
    <w:p>
      <w:pPr>
        <w:pStyle w:val="Bibliography"/>
      </w:pPr>
      <w:r>
        <w:t xml:space="preserve">———. 2024.</w:t>
      </w:r>
      <w:r>
        <w:t xml:space="preserve"> </w:t>
      </w:r>
      <w:r>
        <w:t xml:space="preserve">“</w:t>
      </w:r>
      <w:r>
        <w:t xml:space="preserve">CompStat</w:t>
      </w:r>
      <w:r>
        <w:t xml:space="preserve"> </w:t>
      </w:r>
      <w:r>
        <w:t xml:space="preserve">and Counterfactuals.”</w:t>
      </w:r>
      <w:r>
        <w:t xml:space="preserve"> </w:t>
      </w:r>
      <w:r>
        <w:t xml:space="preserve">CRIME De-Coder blog,</w:t>
      </w:r>
      <w:r>
        <w:t xml:space="preserve"> </w:t>
      </w:r>
      <w:hyperlink r:id="rId116">
        <w:r>
          <w:rPr>
            <w:rStyle w:val="Hyperlink"/>
          </w:rPr>
          <w:t xml:space="preserve">https://crimede-coder.com/blogposts/2024/CompstatCounter</w:t>
        </w:r>
      </w:hyperlink>
      <w:r>
        <w:t xml:space="preserve">.</w:t>
      </w:r>
    </w:p>
    <w:bookmarkEnd w:id="117"/>
    <w:bookmarkStart w:id="119" w:name="ref-wheeler2018wdd"/>
    <w:p>
      <w:pPr>
        <w:pStyle w:val="Bibliography"/>
      </w:pPr>
      <w:r>
        <w:t xml:space="preserve">Wheeler, Andrew P., and Jerry H. Ratcliffe. 2018.</w:t>
      </w:r>
      <w:r>
        <w:t xml:space="preserve"> </w:t>
      </w:r>
      <w:r>
        <w:t xml:space="preserve">“A Simple Weighted Displacement Difference Test to Evaluate Place Based Crime Interventions.”</w:t>
      </w:r>
      <w:r>
        <w:t xml:space="preserve"> </w:t>
      </w:r>
      <w:r>
        <w:rPr>
          <w:iCs/>
          <w:i/>
        </w:rPr>
        <w:t xml:space="preserve">Crime Science</w:t>
      </w:r>
      <w:r>
        <w:t xml:space="preserve"> </w:t>
      </w:r>
      <w:r>
        <w:t xml:space="preserve">7 (1): 11.</w:t>
      </w:r>
      <w:r>
        <w:t xml:space="preserve"> </w:t>
      </w:r>
      <w:hyperlink r:id="rId118">
        <w:r>
          <w:rPr>
            <w:rStyle w:val="Hyperlink"/>
          </w:rPr>
          <w:t xml:space="preserve">https://doi.org/10.1186/s40163-018-0085-5</w:t>
        </w:r>
      </w:hyperlink>
      <w:r>
        <w:t xml:space="preserve">.</w:t>
      </w:r>
    </w:p>
    <w:bookmarkEnd w:id="119"/>
    <w:bookmarkEnd w:id="120"/>
    <w:bookmarkEnd w:id="1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b/>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b/>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63" Target="media/rId63.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hyperlink" Id="rId80" Target="https://cityofdallas.legistar.com/LegislationDetail.aspx?ID=7294042&amp;GUID=A7181220-17E1-4EA3-9523-94E2EB9EB965" TargetMode="External" /><Relationship Type="http://schemas.openxmlformats.org/officeDocument/2006/relationships/hyperlink" Id="rId116" Target="https://crimede-coder.com/blogposts/2024/CompstatCounter" TargetMode="External" /><Relationship Type="http://schemas.openxmlformats.org/officeDocument/2006/relationships/hyperlink" Id="rId104" Target="https://doi.org/10.1007/s10940-014-9226-5" TargetMode="External" /><Relationship Type="http://schemas.openxmlformats.org/officeDocument/2006/relationships/hyperlink" Id="rId90" Target="https://doi.org/10.1007/s12532-017-0130-5" TargetMode="External" /><Relationship Type="http://schemas.openxmlformats.org/officeDocument/2006/relationships/hyperlink" Id="rId78" Target="https://doi.org/10.1023/A:1024909009240" TargetMode="External" /><Relationship Type="http://schemas.openxmlformats.org/officeDocument/2006/relationships/hyperlink" Id="rId86" Target="https://doi.org/10.1080/01621459.1992.10475217" TargetMode="External" /><Relationship Type="http://schemas.openxmlformats.org/officeDocument/2006/relationships/hyperlink" Id="rId102" Target="https://doi.org/10.1080/01621459.2016.1213634" TargetMode="External" /><Relationship Type="http://schemas.openxmlformats.org/officeDocument/2006/relationships/hyperlink" Id="rId92" Target="https://doi.org/10.1080/03610929708831995" TargetMode="External" /><Relationship Type="http://schemas.openxmlformats.org/officeDocument/2006/relationships/hyperlink" Id="rId114" Target="https://doi.org/10.1108/PIJPSM-02-2018-0027" TargetMode="External" /><Relationship Type="http://schemas.openxmlformats.org/officeDocument/2006/relationships/hyperlink" Id="rId84" Target="https://doi.org/10.1111/j.1468-0297.2011.02420.x" TargetMode="External" /><Relationship Type="http://schemas.openxmlformats.org/officeDocument/2006/relationships/hyperlink" Id="rId106" Target="https://doi.org/10.1111/j.1538-4632.2005.00605.x" TargetMode="External" /><Relationship Type="http://schemas.openxmlformats.org/officeDocument/2006/relationships/hyperlink" Id="rId88" Target="https://doi.org/10.1111/j.1745-9125.2009.00177.x" TargetMode="External" /><Relationship Type="http://schemas.openxmlformats.org/officeDocument/2006/relationships/hyperlink" Id="rId94" Target="https://doi.org/10.1136/ip.2009.024943" TargetMode="External" /><Relationship Type="http://schemas.openxmlformats.org/officeDocument/2006/relationships/hyperlink" Id="rId108" Target="https://doi.org/10.1186/1476-072X-4-11" TargetMode="External" /><Relationship Type="http://schemas.openxmlformats.org/officeDocument/2006/relationships/hyperlink" Id="rId118" Target="https://doi.org/10.1186/s40163-018-0085-5" TargetMode="External" /><Relationship Type="http://schemas.openxmlformats.org/officeDocument/2006/relationships/hyperlink" Id="rId74" Target="https://doi.org/10.1198/jasa.2009.ap08746" TargetMode="External" /><Relationship Type="http://schemas.openxmlformats.org/officeDocument/2006/relationships/hyperlink" Id="rId76" Target="https://doi.org/10.1257/000282803321455188" TargetMode="External" /><Relationship Type="http://schemas.openxmlformats.org/officeDocument/2006/relationships/hyperlink" Id="rId72" Target="https://doi.org/10.1257/jel.20191450" TargetMode="External" /><Relationship Type="http://schemas.openxmlformats.org/officeDocument/2006/relationships/hyperlink" Id="rId112" Target="https://doi.org/10.1287/opre.2021.2141" TargetMode="External" /><Relationship Type="http://schemas.openxmlformats.org/officeDocument/2006/relationships/hyperlink" Id="rId100" Target="https://doi.org/10.18637/jss.v097.i02" TargetMode="External" /><Relationship Type="http://schemas.openxmlformats.org/officeDocument/2006/relationships/hyperlink" Id="rId110" Target="https://labreportdallas.com/neighborhoods/red-bird-oak-cliff-redevelopment/" TargetMode="External" /><Relationship Type="http://schemas.openxmlformats.org/officeDocument/2006/relationships/hyperlink" Id="rId96" Target="https://qns.com/2025/01/mayor-adams-90-day-operation-restore-roosevelt/" TargetMode="External" /><Relationship Type="http://schemas.openxmlformats.org/officeDocument/2006/relationships/hyperlink" Id="rId98" Target="https://queenseagle.com/all/2024/10/17/mayor-launches-controversial-crackdown-on-roosevelt-ave" TargetMode="External" /><Relationship Type="http://schemas.openxmlformats.org/officeDocument/2006/relationships/hyperlink" Id="rId82" Target="https://www.nyc.gov/mayors-office/news/2024/10/mayor-adams-councilmember-moya-launch-multi-agency-operation-address-urgent-public-safety-and" TargetMode="External" /></Relationships>
</file>

<file path=word/_rels/footnotes.xml.rels><?xml version="1.0" encoding="UTF-8"?><Relationships xmlns="http://schemas.openxmlformats.org/package/2006/relationships"><Relationship Type="http://schemas.openxmlformats.org/officeDocument/2006/relationships/hyperlink" Id="rId80" Target="https://cityofdallas.legistar.com/LegislationDetail.aspx?ID=7294042&amp;GUID=A7181220-17E1-4EA3-9523-94E2EB9EB965" TargetMode="External" /><Relationship Type="http://schemas.openxmlformats.org/officeDocument/2006/relationships/hyperlink" Id="rId116" Target="https://crimede-coder.com/blogposts/2024/CompstatCounter" TargetMode="External" /><Relationship Type="http://schemas.openxmlformats.org/officeDocument/2006/relationships/hyperlink" Id="rId104" Target="https://doi.org/10.1007/s10940-014-9226-5" TargetMode="External" /><Relationship Type="http://schemas.openxmlformats.org/officeDocument/2006/relationships/hyperlink" Id="rId90" Target="https://doi.org/10.1007/s12532-017-0130-5" TargetMode="External" /><Relationship Type="http://schemas.openxmlformats.org/officeDocument/2006/relationships/hyperlink" Id="rId78" Target="https://doi.org/10.1023/A:1024909009240" TargetMode="External" /><Relationship Type="http://schemas.openxmlformats.org/officeDocument/2006/relationships/hyperlink" Id="rId86" Target="https://doi.org/10.1080/01621459.1992.10475217" TargetMode="External" /><Relationship Type="http://schemas.openxmlformats.org/officeDocument/2006/relationships/hyperlink" Id="rId102" Target="https://doi.org/10.1080/01621459.2016.1213634" TargetMode="External" /><Relationship Type="http://schemas.openxmlformats.org/officeDocument/2006/relationships/hyperlink" Id="rId92" Target="https://doi.org/10.1080/03610929708831995" TargetMode="External" /><Relationship Type="http://schemas.openxmlformats.org/officeDocument/2006/relationships/hyperlink" Id="rId114" Target="https://doi.org/10.1108/PIJPSM-02-2018-0027" TargetMode="External" /><Relationship Type="http://schemas.openxmlformats.org/officeDocument/2006/relationships/hyperlink" Id="rId84" Target="https://doi.org/10.1111/j.1468-0297.2011.02420.x" TargetMode="External" /><Relationship Type="http://schemas.openxmlformats.org/officeDocument/2006/relationships/hyperlink" Id="rId106" Target="https://doi.org/10.1111/j.1538-4632.2005.00605.x" TargetMode="External" /><Relationship Type="http://schemas.openxmlformats.org/officeDocument/2006/relationships/hyperlink" Id="rId88" Target="https://doi.org/10.1111/j.1745-9125.2009.00177.x" TargetMode="External" /><Relationship Type="http://schemas.openxmlformats.org/officeDocument/2006/relationships/hyperlink" Id="rId94" Target="https://doi.org/10.1136/ip.2009.024943" TargetMode="External" /><Relationship Type="http://schemas.openxmlformats.org/officeDocument/2006/relationships/hyperlink" Id="rId108" Target="https://doi.org/10.1186/1476-072X-4-11" TargetMode="External" /><Relationship Type="http://schemas.openxmlformats.org/officeDocument/2006/relationships/hyperlink" Id="rId118" Target="https://doi.org/10.1186/s40163-018-0085-5" TargetMode="External" /><Relationship Type="http://schemas.openxmlformats.org/officeDocument/2006/relationships/hyperlink" Id="rId74" Target="https://doi.org/10.1198/jasa.2009.ap08746" TargetMode="External" /><Relationship Type="http://schemas.openxmlformats.org/officeDocument/2006/relationships/hyperlink" Id="rId76" Target="https://doi.org/10.1257/000282803321455188" TargetMode="External" /><Relationship Type="http://schemas.openxmlformats.org/officeDocument/2006/relationships/hyperlink" Id="rId72" Target="https://doi.org/10.1257/jel.20191450" TargetMode="External" /><Relationship Type="http://schemas.openxmlformats.org/officeDocument/2006/relationships/hyperlink" Id="rId112" Target="https://doi.org/10.1287/opre.2021.2141" TargetMode="External" /><Relationship Type="http://schemas.openxmlformats.org/officeDocument/2006/relationships/hyperlink" Id="rId100" Target="https://doi.org/10.18637/jss.v097.i02" TargetMode="External" /><Relationship Type="http://schemas.openxmlformats.org/officeDocument/2006/relationships/hyperlink" Id="rId110" Target="https://labreportdallas.com/neighborhoods/red-bird-oak-cliff-redevelopment/" TargetMode="External" /><Relationship Type="http://schemas.openxmlformats.org/officeDocument/2006/relationships/hyperlink" Id="rId96" Target="https://qns.com/2025/01/mayor-adams-90-day-operation-restore-roosevelt/" TargetMode="External" /><Relationship Type="http://schemas.openxmlformats.org/officeDocument/2006/relationships/hyperlink" Id="rId98" Target="https://queenseagle.com/all/2024/10/17/mayor-launches-controversial-crackdown-on-roosevelt-ave" TargetMode="External" /><Relationship Type="http://schemas.openxmlformats.org/officeDocument/2006/relationships/hyperlink" Id="rId82" Target="https://www.nyc.gov/mayors-office/news/2024/10/mayor-adams-councilmember-moya-launch-multi-agency-operation-address-urgent-public-safety-a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Drawing contiguous control areas for the weighted displacement difference test</dc:title>
  <dc:creator>Andrew P. Wheeler</dc:creator>
  <cp:keywords/>
  <dcterms:created xsi:type="dcterms:W3CDTF">2026-10-06T20:48:17Z</dcterms:created>
  <dcterms:modified xsi:type="dcterms:W3CDTF">2026-10-06T20:48:17Z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weighted displacement difference (WDD) test compares the change in crime in an area that received an intervention with the change in a control area, which analysts usually draw by eye. Synthetic control methods pick controls that track the treated area before the intervention, but microsynth’s calibration weights spread over thousands of small areas that cannot be shown as a place. I describe a method that draws a single, contiguous control area with no weights whose monthly crime before the intervention is statistically indistinguishable from the treated area’s, month to month, over six-month stretches, and in level and trend, judged against quasi-Poisson noise. A network scan grows candidate areas from many centers through the census block adjacency graph, and a small integer program in each scan window chooses the blocks, with a constraint that each selected block border one closer to the window’s center guaranteeing a connected, compact area; the nearest passing area is chosen. Searches take two to four minutes for a large city. In simulations where the treated area’s crime was rising relative to its surroundings, a surrounding ring and the city-wide trend miss about 70% of the effect, while the matched contiguous area misses about 20%; asking for the best possible pre-period fit, as the best-fitting area and microsynth’s exact calibration do, chases noise and does worse. When neighborhoods share trends, a ring does as well. Applied to a new public improvement district in Dallas, Texas, the method finds no detectable change in its first nine months. For Operation Restore Roosevelt in Queens, New York, a running month-by-month WDD shows property crime falling relative to the matched control during the operation’s first nine months and then rebounding, with no net change after 20 months, and equally well-matched alternative controls disagree, so the data do not pin down the operation’s effect. Code, data, and paper source are at https://github.com/apwheele/WDDControl.</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wddcontrol</vt:lpwstr>
  </property>
  <property fmtid="{D5CDD505-2E9C-101B-9397-08002B2CF9AE}" pid="12" name="labels">
    <vt:lpwstr/>
  </property>
  <property fmtid="{D5CDD505-2E9C-101B-9397-08002B2CF9AE}" pid="13" name="link-citations">
    <vt:lpwstr>True</vt:lpwstr>
  </property>
  <property fmtid="{D5CDD505-2E9C-101B-9397-08002B2CF9AE}" pid="14" name="toc-title">
    <vt:lpwstr>Table of contents</vt:lpwstr>
  </property>
</Properties>
</file>