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09BE6" w14:textId="3B250187" w:rsidR="000843F3" w:rsidRPr="001C20D2" w:rsidRDefault="004A1542" w:rsidP="001C20D2">
      <w:pPr>
        <w:jc w:val="center"/>
        <w:rPr>
          <w:b/>
          <w:bCs/>
        </w:rPr>
      </w:pPr>
      <w:r w:rsidRPr="001C20D2">
        <w:rPr>
          <w:b/>
          <w:bCs/>
        </w:rPr>
        <w:t>Technical Appendix</w:t>
      </w:r>
    </w:p>
    <w:p w14:paraId="5DCDD59A" w14:textId="2375981A" w:rsidR="004A1542" w:rsidRDefault="001C20D2">
      <w:r>
        <w:t xml:space="preserve">The goal of this methodology is to take individual police departments reported domestic violence incidents, and </w:t>
      </w:r>
      <w:r>
        <w:rPr>
          <w:i/>
          <w:iCs/>
        </w:rPr>
        <w:t>adjust</w:t>
      </w:r>
      <w:r>
        <w:t xml:space="preserve"> them given that we know there is under-reporting of domestic violence. For example, if a police department had a reported 100 domestic violence incidents in 2022, how many domestic violence incidents actually happened in that jurisdiction, given we know that 100 reported incidents </w:t>
      </w:r>
      <w:r>
        <w:rPr>
          <w:i/>
          <w:iCs/>
        </w:rPr>
        <w:t>is an undercount</w:t>
      </w:r>
      <w:r>
        <w:t>.</w:t>
      </w:r>
    </w:p>
    <w:p w14:paraId="7A72DB73" w14:textId="4BFC9F29" w:rsidR="001C20D2" w:rsidRDefault="001C20D2">
      <w:r>
        <w:t>If we know that the reporting rate for domestic violence events was only 50%, we would then up-adjust</w:t>
      </w:r>
      <w:r w:rsidR="00571246">
        <w:t xml:space="preserve"> the observed rate of 100 events by 100/0.5, which would then suggest there are a total of 200 events.</w:t>
      </w:r>
    </w:p>
    <w:p w14:paraId="4E4D0507" w14:textId="42A79378" w:rsidR="00B6057F" w:rsidRDefault="00B6057F">
      <w:r>
        <w:t>Not all crime events have the same reporting rate though. Imagine out of the 100 events, 80 are for younger victims, with a reporting rate of 60%, and 20 are for older victims, with a reporting rate of 40%. In this scenario, the total up-adjusted weight for the jurisdiction will be 80/0.</w:t>
      </w:r>
      <w:r w:rsidR="00F6173D">
        <w:t>5</w:t>
      </w:r>
      <w:r>
        <w:t xml:space="preserve"> + 20/0.4, </w:t>
      </w:r>
      <w:r w:rsidR="00F6173D">
        <w:t>which is 210 incidents. The older individuals had a higher weight.</w:t>
      </w:r>
    </w:p>
    <w:p w14:paraId="0E345E56" w14:textId="69E5F764" w:rsidR="00571246" w:rsidRDefault="000E59BD">
      <w:r>
        <w:t xml:space="preserve">This paper shows how to take this methodology further, every particular </w:t>
      </w:r>
      <w:r>
        <w:rPr>
          <w:i/>
          <w:iCs/>
        </w:rPr>
        <w:t>observed</w:t>
      </w:r>
      <w:r>
        <w:t xml:space="preserve"> crime event can have its own weight to up-adjust. We show, using a set of normalized data across the National Crime Victimization Survey (NCVS), and the police reported National Incident Based Reporting System (NIBRS) how to create tailored estimates to up-adjust police reports.</w:t>
      </w:r>
    </w:p>
    <w:p w14:paraId="25D8DB7D" w14:textId="20FD5ECD" w:rsidR="00CF4481" w:rsidRPr="000E59BD" w:rsidRDefault="00CF4481">
      <w:r>
        <w:t>This fills a gap in our current data eco-system, the NCVS provides domestic violence rates for the entire nation, but does not allow one to drill down into more specific geographics. This approach allows one to take into account non-reporting, but for smaller geographics. Given that police departments can report NIBRS data in a more up to date fashion, it also provides an opportunity to establish more real time trends</w:t>
      </w:r>
      <w:r w:rsidR="007E490D">
        <w:t xml:space="preserve"> than relying on the NCVS can.</w:t>
      </w:r>
    </w:p>
    <w:p w14:paraId="4F8EF5AB" w14:textId="5B277C72" w:rsidR="001C20D2" w:rsidRPr="001C20D2" w:rsidRDefault="001C20D2">
      <w:pPr>
        <w:rPr>
          <w:b/>
          <w:bCs/>
        </w:rPr>
      </w:pPr>
      <w:r w:rsidRPr="001C20D2">
        <w:rPr>
          <w:b/>
          <w:bCs/>
        </w:rPr>
        <w:t>Data</w:t>
      </w:r>
    </w:p>
    <w:p w14:paraId="270BEAA3" w14:textId="51F92018" w:rsidR="00571246" w:rsidRDefault="001C20D2">
      <w:r>
        <w:t xml:space="preserve">We use </w:t>
      </w:r>
      <w:r w:rsidR="003A7335">
        <w:t>three</w:t>
      </w:r>
      <w:r>
        <w:t xml:space="preserve"> different data sources for this report. The first source is the </w:t>
      </w:r>
      <w:r w:rsidR="00393F46">
        <w:t>NCVS</w:t>
      </w:r>
      <w:r>
        <w:t>, specifically the concatenated file of the NCVS data from 1992 through 2022, available currently at ICSPR study number 38604.</w:t>
      </w:r>
      <w:r w:rsidR="00571246">
        <w:t xml:space="preserve"> We limit the analysis to domestic violence assaults, using the same methodology and variable definitions as Powers &amp; Bleeker (2023). Note that NCVS only surveys individuals that are over 12 years old.</w:t>
      </w:r>
    </w:p>
    <w:p w14:paraId="5D8554D9" w14:textId="156C6425" w:rsidR="001C20D2" w:rsidRDefault="00571246">
      <w:r>
        <w:t xml:space="preserve">After filtering the data to domestic violence </w:t>
      </w:r>
      <w:r w:rsidR="005571CD">
        <w:t xml:space="preserve">aggravated </w:t>
      </w:r>
      <w:r>
        <w:t xml:space="preserve">assaults, we subsequently have a total of 1,527 reported incidents over the </w:t>
      </w:r>
      <w:r w:rsidR="00393F46">
        <w:t>21 year sample.</w:t>
      </w:r>
    </w:p>
    <w:p w14:paraId="6E74E0F5" w14:textId="77777777" w:rsidR="00C3468C" w:rsidRDefault="005040FD">
      <w:r>
        <w:t xml:space="preserve">The second data source is the NIBRS police report data, specifically we use the concatenated files provided by Jacob Kaplan (Kaplan, 2024). For this data, we filter incidents that are reported as aggravated assaults (via the victimization </w:t>
      </w:r>
      <w:r>
        <w:rPr>
          <w:i/>
          <w:iCs/>
        </w:rPr>
        <w:t>aggravated assault</w:t>
      </w:r>
      <w:r>
        <w:t xml:space="preserve"> question, not the specific NIBRS crime category). Specifically the aggravated assault circumstance variable with a category of domestic violence. Since the NCVS only includes those over 12 years old, we also eliminated NIBRS events for those under 12. We also eliminate any agency-years with only partial reporting</w:t>
      </w:r>
      <w:r w:rsidR="00C3468C">
        <w:t>, by only including agencies that had reported crime incidents in all twelve months.</w:t>
      </w:r>
    </w:p>
    <w:p w14:paraId="4E1E3ED6" w14:textId="40231D3A" w:rsidR="003A7335" w:rsidRDefault="003A7335">
      <w:r>
        <w:lastRenderedPageBreak/>
        <w:t>For the NIBRS data, we do need to impute the age</w:t>
      </w:r>
      <w:r w:rsidR="00E10924">
        <w:t>, Hispanic status, and race</w:t>
      </w:r>
      <w:r>
        <w:t xml:space="preserve"> of the victim for a small number of cases. We do a regression approach, using the other variables available, to impute the age for each separate year of the NIBRS data.</w:t>
      </w:r>
      <w:r w:rsidR="00E10924">
        <w:t xml:space="preserve"> For Hispanic status we impute as not-Hispanic, and for race we impute as multi-racial. (We encourage those curious on the methodology to review the open source computer code to replicate, available at </w:t>
      </w:r>
      <w:hyperlink r:id="rId5" w:history="1">
        <w:r w:rsidR="00E10924" w:rsidRPr="00503296">
          <w:rPr>
            <w:rStyle w:val="Hyperlink"/>
          </w:rPr>
          <w:t>https://github.com/apwheele/dvtrends</w:t>
        </w:r>
      </w:hyperlink>
      <w:r w:rsidR="00E10924">
        <w:t xml:space="preserve">.)  </w:t>
      </w:r>
    </w:p>
    <w:p w14:paraId="1C2ADE54" w14:textId="7C26D277" w:rsidR="003A7335" w:rsidRDefault="003A7335">
      <w:r>
        <w:t xml:space="preserve">The last data source are mappings of reported population served estimates, downloaded from the FBI’s data explorer tool (that are derived from the Law Enforcement Officer’s Killed in Action data series). Agencies are represented in NIBRS using an ORI (originating agency identifier). </w:t>
      </w:r>
      <w:r w:rsidR="001323EB">
        <w:t xml:space="preserve">When an agency-year does not have a reported population estimate, we impute the missing data as having a population of the under 50,000 population </w:t>
      </w:r>
      <w:r w:rsidR="003A0A4C">
        <w:t>category</w:t>
      </w:r>
      <w:r w:rsidR="001323EB">
        <w:t xml:space="preserve"> (as these tend to be small agencies or non-city police departments).</w:t>
      </w:r>
    </w:p>
    <w:p w14:paraId="25A31FC4" w14:textId="4C94113E" w:rsidR="001C20D2" w:rsidRPr="001C20D2" w:rsidRDefault="001C20D2">
      <w:pPr>
        <w:rPr>
          <w:b/>
          <w:bCs/>
        </w:rPr>
      </w:pPr>
      <w:r w:rsidRPr="001C20D2">
        <w:rPr>
          <w:b/>
          <w:bCs/>
        </w:rPr>
        <w:t>Modelling Approach</w:t>
      </w:r>
    </w:p>
    <w:p w14:paraId="68F10A6D" w14:textId="3EE84851" w:rsidR="006D41EF" w:rsidRDefault="006D41EF">
      <w:r>
        <w:t>The regression equation predicting the probability of reporting the domestic violence assault to the police is a logistic regression equation as follows:</w:t>
      </w:r>
    </w:p>
    <w:p w14:paraId="409DC642" w14:textId="77777777" w:rsidR="006D41EF" w:rsidRDefault="006D41EF"/>
    <w:p w14:paraId="41A85853" w14:textId="6FF62922" w:rsidR="006D41EF" w:rsidRDefault="006D41EF">
      <m:oMathPara>
        <m:oMath>
          <m:r>
            <w:rPr>
              <w:rFonts w:ascii="Cambria Math" w:eastAsiaTheme="minorEastAsia" w:hAnsi="Cambria Math"/>
            </w:rPr>
            <m:t>g</m:t>
          </m:r>
          <m:d>
            <m:dPr>
              <m:ctrlPr>
                <w:rPr>
                  <w:rFonts w:ascii="Cambria Math" w:eastAsiaTheme="minorEastAsia" w:hAnsi="Cambria Math"/>
                  <w:i/>
                </w:rPr>
              </m:ctrlPr>
            </m:dPr>
            <m:e>
              <m:r>
                <m:rPr>
                  <m:scr m:val="double-struck"/>
                </m:rPr>
                <w:rPr>
                  <w:rFonts w:ascii="Cambria Math" w:eastAsiaTheme="minorEastAsia" w:hAnsi="Cambria Math"/>
                </w:rPr>
                <m:t>P</m:t>
              </m:r>
              <m:d>
                <m:dPr>
                  <m:begChr m:val="["/>
                  <m:endChr m:val="]"/>
                  <m:ctrlPr>
                    <w:rPr>
                      <w:rFonts w:ascii="Cambria Math" w:eastAsiaTheme="minorEastAsia" w:hAnsi="Cambria Math"/>
                      <w:i/>
                    </w:rPr>
                  </m:ctrlPr>
                </m:dPr>
                <m:e>
                  <m:r>
                    <m:rPr>
                      <m:nor/>
                    </m:rPr>
                    <w:rPr>
                      <w:rFonts w:ascii="Cambria Math" w:eastAsiaTheme="minorEastAsia" w:hAnsi="Cambria Math"/>
                    </w:rPr>
                    <m:t>Report</m:t>
                  </m:r>
                </m:e>
              </m:d>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m:rPr>
              <m:nor/>
            </m:rPr>
            <w:rPr>
              <w:rFonts w:ascii="Cambria Math" w:hAnsi="Cambria Math"/>
            </w:rPr>
            <m:t>Female</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r>
            <m:rPr>
              <m:nor/>
            </m:rPr>
            <w:rPr>
              <w:rFonts w:ascii="Cambria Math" w:eastAsiaTheme="minorEastAsia" w:hAnsi="Cambria Math"/>
            </w:rPr>
            <m:t>Hispanic</m:t>
          </m:r>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Year</m:t>
                  </m:r>
                </m:e>
                <m:sub>
                  <m:r>
                    <w:rPr>
                      <w:rFonts w:ascii="Cambria Math" w:eastAsiaTheme="minorEastAsia" w:hAnsi="Cambria Math"/>
                    </w:rPr>
                    <m:t>k</m:t>
                  </m:r>
                </m:sub>
              </m:sSub>
            </m:e>
          </m:d>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l</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Age</m:t>
                  </m:r>
                </m:e>
                <m:sub>
                  <m:r>
                    <w:rPr>
                      <w:rFonts w:ascii="Cambria Math" w:eastAsiaTheme="minorEastAsia" w:hAnsi="Cambria Math"/>
                    </w:rPr>
                    <m:t>l</m:t>
                  </m:r>
                </m:sub>
              </m:sSub>
            </m:e>
          </m:d>
          <m:r>
            <w:rPr>
              <w:rFonts w:ascii="Cambria Math" w:eastAsiaTheme="minorEastAsia" w:hAnsi="Cambria Math"/>
            </w:rPr>
            <m:t xml:space="preserve">+ </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Race</m:t>
                  </m:r>
                </m:e>
                <m:sub>
                  <m:r>
                    <w:rPr>
                      <w:rFonts w:ascii="Cambria Math" w:eastAsiaTheme="minorEastAsia" w:hAnsi="Cambria Math"/>
                    </w:rPr>
                    <m:t>g</m:t>
                  </m:r>
                </m:sub>
              </m:sSub>
            </m:e>
          </m:d>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h</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Region</m:t>
                  </m:r>
                </m:e>
                <m:sub>
                  <m:r>
                    <w:rPr>
                      <w:rFonts w:ascii="Cambria Math" w:eastAsiaTheme="minorEastAsia" w:hAnsi="Cambria Math"/>
                    </w:rPr>
                    <m:t>h</m:t>
                  </m:r>
                </m:sub>
              </m:sSub>
            </m:e>
          </m:d>
          <m:r>
            <w:rPr>
              <w:rFonts w:ascii="Cambria Math" w:eastAsiaTheme="minorEastAsia" w:hAnsi="Cambria Math"/>
            </w:rPr>
            <m:t xml:space="preserve">+ </m:t>
          </m:r>
        </m:oMath>
      </m:oMathPara>
    </w:p>
    <w:p w14:paraId="0D88EB5B" w14:textId="77777777" w:rsidR="006D41EF" w:rsidRDefault="006D41EF"/>
    <w:p w14:paraId="177449F4" w14:textId="6756E41F" w:rsidR="00042559" w:rsidRDefault="001C20D2">
      <w:r>
        <w:t xml:space="preserve">Where the </w:t>
      </w:r>
      <w:r>
        <w:rPr>
          <w:i/>
          <w:iCs/>
        </w:rPr>
        <w:t>probability</w:t>
      </w:r>
      <w:r>
        <w:t xml:space="preserve"> of reporting the assault to the police is a function of the </w:t>
      </w:r>
      <w:r>
        <w:rPr>
          <w:i/>
          <w:iCs/>
        </w:rPr>
        <w:t xml:space="preserve">victims </w:t>
      </w:r>
      <w:r>
        <w:t xml:space="preserve">sex, </w:t>
      </w:r>
      <w:r w:rsidR="00D246DE">
        <w:t>H</w:t>
      </w:r>
      <w:r>
        <w:t xml:space="preserve">ispanic status, racial category (black, Asian, native American, multiple, white reference), region category (northeast, Midwest, south, west). </w:t>
      </w:r>
      <w:r w:rsidR="00042559">
        <w:t>For the NCVS, earlier years did not include the region, and so for these years we include a dummy variable of missing region.</w:t>
      </w:r>
    </w:p>
    <w:p w14:paraId="15D30E07" w14:textId="5D84586B" w:rsidR="008F1864" w:rsidRPr="001C20D2" w:rsidRDefault="001C20D2">
      <w:r>
        <w:t xml:space="preserve">The model also includes non-linear restricted cubic spline terms for the victims age (with knots at 25, 40, and 65), and </w:t>
      </w:r>
      <w:r w:rsidR="008F1864">
        <w:t>year spline variables (with knots at 1999, 2007, 2015).</w:t>
      </w:r>
      <w:r w:rsidR="00E12C32">
        <w:t xml:space="preserve"> Restricted cubic splines allow one to model non-linear terms</w:t>
      </w:r>
      <w:r w:rsidR="00043C4B">
        <w:t xml:space="preserve"> (Harrell, 2001)</w:t>
      </w:r>
      <w:r w:rsidR="00E12C32">
        <w:t>.</w:t>
      </w:r>
    </w:p>
    <w:p w14:paraId="5871A921" w14:textId="3C3CC6B9" w:rsidR="001C20D2" w:rsidRDefault="00D246DE">
      <w:r>
        <w:t xml:space="preserve">These variables were intentionally chosen, as one needs to have a consistent set of variables across both the NCVS and NIBRS to apply the methodology. Even if one knows of other characteristics that </w:t>
      </w:r>
      <w:r>
        <w:rPr>
          <w:i/>
          <w:iCs/>
        </w:rPr>
        <w:t>predict</w:t>
      </w:r>
      <w:r>
        <w:t xml:space="preserve"> reporting in the NCVS, they are only useful in this methodology if they are regularly captured in NIBRS.</w:t>
      </w:r>
    </w:p>
    <w:p w14:paraId="1B8CB9CE" w14:textId="0ADF42FF" w:rsidR="00A43661" w:rsidRPr="00A43661" w:rsidRDefault="00A43661">
      <w:r>
        <w:t xml:space="preserve">The model </w:t>
      </w:r>
      <w:r>
        <w:rPr>
          <w:i/>
          <w:iCs/>
        </w:rPr>
        <w:t>does not</w:t>
      </w:r>
      <w:r>
        <w:t xml:space="preserve"> including sampling weights in its estimates.</w:t>
      </w:r>
      <w:r w:rsidR="00B16A3B">
        <w:t xml:space="preserve"> Those are typically not including in regression modelling</w:t>
      </w:r>
      <w:r w:rsidR="002A4A17">
        <w:t>, only for estimating national level rates.</w:t>
      </w:r>
    </w:p>
    <w:p w14:paraId="60BD4F77" w14:textId="3B5C72FB" w:rsidR="00824585" w:rsidRPr="00824585" w:rsidRDefault="00824585">
      <w:pPr>
        <w:rPr>
          <w:b/>
          <w:bCs/>
        </w:rPr>
      </w:pPr>
      <w:r w:rsidRPr="00824585">
        <w:rPr>
          <w:b/>
          <w:bCs/>
        </w:rPr>
        <w:t>Regression Model Results</w:t>
      </w:r>
    </w:p>
    <w:p w14:paraId="62FC52A1" w14:textId="77777777" w:rsidR="00824585" w:rsidRDefault="00824585">
      <w:r>
        <w:t xml:space="preserve">Table 1 displays the regression model results for the logistic model, including the linear coefficient estimates. </w:t>
      </w:r>
    </w:p>
    <w:p w14:paraId="7EB09261" w14:textId="162D27DB" w:rsidR="00696B0A" w:rsidRPr="00696B0A" w:rsidRDefault="00696B0A" w:rsidP="00696B0A">
      <w:pPr>
        <w:pStyle w:val="Caption"/>
        <w:keepNext/>
        <w:rPr>
          <w:color w:val="auto"/>
          <w:sz w:val="24"/>
          <w:szCs w:val="24"/>
        </w:rPr>
      </w:pPr>
      <w:r w:rsidRPr="00696B0A">
        <w:rPr>
          <w:color w:val="auto"/>
          <w:sz w:val="24"/>
          <w:szCs w:val="24"/>
        </w:rPr>
        <w:lastRenderedPageBreak/>
        <w:t xml:space="preserve">Table </w:t>
      </w:r>
      <w:r w:rsidRPr="00696B0A">
        <w:rPr>
          <w:color w:val="auto"/>
          <w:sz w:val="24"/>
          <w:szCs w:val="24"/>
        </w:rPr>
        <w:fldChar w:fldCharType="begin"/>
      </w:r>
      <w:r w:rsidRPr="00696B0A">
        <w:rPr>
          <w:color w:val="auto"/>
          <w:sz w:val="24"/>
          <w:szCs w:val="24"/>
        </w:rPr>
        <w:instrText xml:space="preserve"> SEQ Table \* ARABIC </w:instrText>
      </w:r>
      <w:r w:rsidRPr="00696B0A">
        <w:rPr>
          <w:color w:val="auto"/>
          <w:sz w:val="24"/>
          <w:szCs w:val="24"/>
        </w:rPr>
        <w:fldChar w:fldCharType="separate"/>
      </w:r>
      <w:r w:rsidR="001500F3">
        <w:rPr>
          <w:noProof/>
          <w:color w:val="auto"/>
          <w:sz w:val="24"/>
          <w:szCs w:val="24"/>
        </w:rPr>
        <w:t>1</w:t>
      </w:r>
      <w:r w:rsidRPr="00696B0A">
        <w:rPr>
          <w:color w:val="auto"/>
          <w:sz w:val="24"/>
          <w:szCs w:val="24"/>
        </w:rPr>
        <w:fldChar w:fldCharType="end"/>
      </w:r>
      <w:r w:rsidRPr="00696B0A">
        <w:rPr>
          <w:color w:val="auto"/>
          <w:sz w:val="24"/>
          <w:szCs w:val="24"/>
        </w:rPr>
        <w:t>: Logistic Regression Model Coefficients</w:t>
      </w:r>
    </w:p>
    <w:tbl>
      <w:tblPr>
        <w:tblW w:w="0" w:type="auto"/>
        <w:tblLook w:val="04A0" w:firstRow="1" w:lastRow="0" w:firstColumn="1" w:lastColumn="0" w:noHBand="0" w:noVBand="1"/>
      </w:tblPr>
      <w:tblGrid>
        <w:gridCol w:w="1700"/>
        <w:gridCol w:w="785"/>
        <w:gridCol w:w="718"/>
        <w:gridCol w:w="897"/>
      </w:tblGrid>
      <w:tr w:rsidR="00696B0A" w:rsidRPr="00696B0A" w14:paraId="12EC3FD2" w14:textId="77777777" w:rsidTr="00696B0A">
        <w:trPr>
          <w:trHeight w:val="300"/>
        </w:trPr>
        <w:tc>
          <w:tcPr>
            <w:tcW w:w="0" w:type="auto"/>
            <w:tcBorders>
              <w:top w:val="nil"/>
              <w:left w:val="nil"/>
              <w:bottom w:val="single" w:sz="4" w:space="0" w:color="auto"/>
              <w:right w:val="nil"/>
            </w:tcBorders>
            <w:shd w:val="clear" w:color="auto" w:fill="auto"/>
            <w:noWrap/>
            <w:vAlign w:val="bottom"/>
            <w:hideMark/>
          </w:tcPr>
          <w:p w14:paraId="207AFAB3" w14:textId="77777777" w:rsidR="00696B0A" w:rsidRPr="00696B0A" w:rsidRDefault="00696B0A" w:rsidP="00696B0A">
            <w:pPr>
              <w:spacing w:after="0"/>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Coefficient</w:t>
            </w:r>
          </w:p>
        </w:tc>
        <w:tc>
          <w:tcPr>
            <w:tcW w:w="0" w:type="auto"/>
            <w:tcBorders>
              <w:top w:val="nil"/>
              <w:left w:val="nil"/>
              <w:bottom w:val="single" w:sz="4" w:space="0" w:color="auto"/>
              <w:right w:val="nil"/>
            </w:tcBorders>
            <w:shd w:val="clear" w:color="auto" w:fill="auto"/>
            <w:noWrap/>
            <w:vAlign w:val="bottom"/>
            <w:hideMark/>
          </w:tcPr>
          <w:p w14:paraId="28F070C8" w14:textId="77777777" w:rsidR="00696B0A" w:rsidRPr="00696B0A" w:rsidRDefault="00696B0A"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B</w:t>
            </w:r>
          </w:p>
        </w:tc>
        <w:tc>
          <w:tcPr>
            <w:tcW w:w="0" w:type="auto"/>
            <w:tcBorders>
              <w:top w:val="nil"/>
              <w:left w:val="nil"/>
              <w:bottom w:val="single" w:sz="4" w:space="0" w:color="auto"/>
              <w:right w:val="nil"/>
            </w:tcBorders>
            <w:shd w:val="clear" w:color="auto" w:fill="auto"/>
            <w:noWrap/>
            <w:vAlign w:val="bottom"/>
            <w:hideMark/>
          </w:tcPr>
          <w:p w14:paraId="2B2374A3" w14:textId="77777777" w:rsidR="00696B0A" w:rsidRPr="00696B0A" w:rsidRDefault="00696B0A"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SE</w:t>
            </w:r>
          </w:p>
        </w:tc>
        <w:tc>
          <w:tcPr>
            <w:tcW w:w="0" w:type="auto"/>
            <w:tcBorders>
              <w:top w:val="nil"/>
              <w:left w:val="nil"/>
              <w:bottom w:val="single" w:sz="4" w:space="0" w:color="auto"/>
              <w:right w:val="nil"/>
            </w:tcBorders>
            <w:shd w:val="clear" w:color="auto" w:fill="auto"/>
            <w:noWrap/>
            <w:vAlign w:val="bottom"/>
            <w:hideMark/>
          </w:tcPr>
          <w:p w14:paraId="0A3E4BBD" w14:textId="77777777" w:rsidR="00696B0A" w:rsidRPr="00696B0A" w:rsidRDefault="00696B0A"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p-value</w:t>
            </w:r>
          </w:p>
        </w:tc>
      </w:tr>
      <w:tr w:rsidR="00696B0A" w:rsidRPr="00696B0A" w14:paraId="314B1C0D" w14:textId="77777777" w:rsidTr="00696B0A">
        <w:trPr>
          <w:trHeight w:val="300"/>
        </w:trPr>
        <w:tc>
          <w:tcPr>
            <w:tcW w:w="0" w:type="auto"/>
            <w:tcBorders>
              <w:top w:val="nil"/>
              <w:left w:val="nil"/>
              <w:bottom w:val="nil"/>
              <w:right w:val="nil"/>
            </w:tcBorders>
            <w:shd w:val="clear" w:color="auto" w:fill="auto"/>
            <w:noWrap/>
            <w:vAlign w:val="bottom"/>
            <w:hideMark/>
          </w:tcPr>
          <w:p w14:paraId="0C590A93"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Intercept</w:t>
            </w:r>
          </w:p>
        </w:tc>
        <w:tc>
          <w:tcPr>
            <w:tcW w:w="0" w:type="auto"/>
            <w:tcBorders>
              <w:top w:val="nil"/>
              <w:left w:val="nil"/>
              <w:bottom w:val="nil"/>
              <w:right w:val="nil"/>
            </w:tcBorders>
            <w:shd w:val="clear" w:color="auto" w:fill="auto"/>
            <w:noWrap/>
            <w:vAlign w:val="bottom"/>
            <w:hideMark/>
          </w:tcPr>
          <w:p w14:paraId="4EF74E1E"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-78.61</w:t>
            </w:r>
          </w:p>
        </w:tc>
        <w:tc>
          <w:tcPr>
            <w:tcW w:w="0" w:type="auto"/>
            <w:tcBorders>
              <w:top w:val="nil"/>
              <w:left w:val="nil"/>
              <w:bottom w:val="nil"/>
              <w:right w:val="nil"/>
            </w:tcBorders>
            <w:shd w:val="clear" w:color="auto" w:fill="auto"/>
            <w:noWrap/>
            <w:vAlign w:val="bottom"/>
            <w:hideMark/>
          </w:tcPr>
          <w:p w14:paraId="007CAEE4"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42.92</w:t>
            </w:r>
          </w:p>
        </w:tc>
        <w:tc>
          <w:tcPr>
            <w:tcW w:w="0" w:type="auto"/>
            <w:tcBorders>
              <w:top w:val="nil"/>
              <w:left w:val="nil"/>
              <w:bottom w:val="nil"/>
              <w:right w:val="nil"/>
            </w:tcBorders>
            <w:shd w:val="clear" w:color="auto" w:fill="auto"/>
            <w:noWrap/>
            <w:vAlign w:val="bottom"/>
            <w:hideMark/>
          </w:tcPr>
          <w:p w14:paraId="4A4E1A13"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r>
      <w:tr w:rsidR="00696B0A" w:rsidRPr="00696B0A" w14:paraId="0DD6E737" w14:textId="77777777" w:rsidTr="00696B0A">
        <w:trPr>
          <w:trHeight w:val="300"/>
        </w:trPr>
        <w:tc>
          <w:tcPr>
            <w:tcW w:w="0" w:type="auto"/>
            <w:tcBorders>
              <w:top w:val="nil"/>
              <w:left w:val="nil"/>
              <w:bottom w:val="nil"/>
              <w:right w:val="nil"/>
            </w:tcBorders>
            <w:shd w:val="clear" w:color="auto" w:fill="auto"/>
            <w:noWrap/>
            <w:vAlign w:val="bottom"/>
            <w:hideMark/>
          </w:tcPr>
          <w:p w14:paraId="297FF92A"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rcs(year,1)</w:t>
            </w:r>
          </w:p>
        </w:tc>
        <w:tc>
          <w:tcPr>
            <w:tcW w:w="0" w:type="auto"/>
            <w:tcBorders>
              <w:top w:val="nil"/>
              <w:left w:val="nil"/>
              <w:bottom w:val="nil"/>
              <w:right w:val="nil"/>
            </w:tcBorders>
            <w:shd w:val="clear" w:color="auto" w:fill="auto"/>
            <w:noWrap/>
            <w:vAlign w:val="bottom"/>
            <w:hideMark/>
          </w:tcPr>
          <w:p w14:paraId="2D867CF4"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0.04</w:t>
            </w:r>
          </w:p>
        </w:tc>
        <w:tc>
          <w:tcPr>
            <w:tcW w:w="0" w:type="auto"/>
            <w:tcBorders>
              <w:top w:val="nil"/>
              <w:left w:val="nil"/>
              <w:bottom w:val="nil"/>
              <w:right w:val="nil"/>
            </w:tcBorders>
            <w:shd w:val="clear" w:color="auto" w:fill="auto"/>
            <w:noWrap/>
            <w:vAlign w:val="bottom"/>
            <w:hideMark/>
          </w:tcPr>
          <w:p w14:paraId="1B745510"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shd w:val="clear" w:color="auto" w:fill="auto"/>
            <w:noWrap/>
            <w:vAlign w:val="bottom"/>
            <w:hideMark/>
          </w:tcPr>
          <w:p w14:paraId="58F01809"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r>
      <w:tr w:rsidR="00696B0A" w:rsidRPr="00696B0A" w14:paraId="363E96DE" w14:textId="77777777" w:rsidTr="00696B0A">
        <w:trPr>
          <w:trHeight w:val="300"/>
        </w:trPr>
        <w:tc>
          <w:tcPr>
            <w:tcW w:w="0" w:type="auto"/>
            <w:tcBorders>
              <w:top w:val="nil"/>
              <w:left w:val="nil"/>
              <w:bottom w:val="nil"/>
              <w:right w:val="nil"/>
            </w:tcBorders>
            <w:shd w:val="clear" w:color="auto" w:fill="auto"/>
            <w:noWrap/>
            <w:vAlign w:val="bottom"/>
            <w:hideMark/>
          </w:tcPr>
          <w:p w14:paraId="0870E993"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rcs(year,2)</w:t>
            </w:r>
          </w:p>
        </w:tc>
        <w:tc>
          <w:tcPr>
            <w:tcW w:w="0" w:type="auto"/>
            <w:tcBorders>
              <w:top w:val="nil"/>
              <w:left w:val="nil"/>
              <w:bottom w:val="nil"/>
              <w:right w:val="nil"/>
            </w:tcBorders>
            <w:shd w:val="clear" w:color="auto" w:fill="auto"/>
            <w:noWrap/>
            <w:vAlign w:val="bottom"/>
            <w:hideMark/>
          </w:tcPr>
          <w:p w14:paraId="6EBD4F8B"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-0.04</w:t>
            </w:r>
          </w:p>
        </w:tc>
        <w:tc>
          <w:tcPr>
            <w:tcW w:w="0" w:type="auto"/>
            <w:tcBorders>
              <w:top w:val="nil"/>
              <w:left w:val="nil"/>
              <w:bottom w:val="nil"/>
              <w:right w:val="nil"/>
            </w:tcBorders>
            <w:shd w:val="clear" w:color="auto" w:fill="auto"/>
            <w:noWrap/>
            <w:vAlign w:val="bottom"/>
            <w:hideMark/>
          </w:tcPr>
          <w:p w14:paraId="6FA1689A"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shd w:val="clear" w:color="auto" w:fill="auto"/>
            <w:noWrap/>
            <w:vAlign w:val="bottom"/>
            <w:hideMark/>
          </w:tcPr>
          <w:p w14:paraId="1E36C55F"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0.13</w:t>
            </w:r>
          </w:p>
        </w:tc>
      </w:tr>
      <w:tr w:rsidR="00696B0A" w:rsidRPr="00696B0A" w14:paraId="798D7BE8" w14:textId="77777777" w:rsidTr="00696B0A">
        <w:trPr>
          <w:trHeight w:val="300"/>
        </w:trPr>
        <w:tc>
          <w:tcPr>
            <w:tcW w:w="0" w:type="auto"/>
            <w:tcBorders>
              <w:top w:val="nil"/>
              <w:left w:val="nil"/>
              <w:bottom w:val="nil"/>
              <w:right w:val="nil"/>
            </w:tcBorders>
            <w:shd w:val="clear" w:color="auto" w:fill="auto"/>
            <w:noWrap/>
            <w:vAlign w:val="bottom"/>
            <w:hideMark/>
          </w:tcPr>
          <w:p w14:paraId="1A2E95D2"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rcs(age,1)</w:t>
            </w:r>
          </w:p>
        </w:tc>
        <w:tc>
          <w:tcPr>
            <w:tcW w:w="0" w:type="auto"/>
            <w:tcBorders>
              <w:top w:val="nil"/>
              <w:left w:val="nil"/>
              <w:bottom w:val="nil"/>
              <w:right w:val="nil"/>
            </w:tcBorders>
            <w:shd w:val="clear" w:color="auto" w:fill="auto"/>
            <w:noWrap/>
            <w:vAlign w:val="bottom"/>
            <w:hideMark/>
          </w:tcPr>
          <w:p w14:paraId="08366499"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0.03</w:t>
            </w:r>
          </w:p>
        </w:tc>
        <w:tc>
          <w:tcPr>
            <w:tcW w:w="0" w:type="auto"/>
            <w:tcBorders>
              <w:top w:val="nil"/>
              <w:left w:val="nil"/>
              <w:bottom w:val="nil"/>
              <w:right w:val="nil"/>
            </w:tcBorders>
            <w:shd w:val="clear" w:color="auto" w:fill="auto"/>
            <w:noWrap/>
            <w:vAlign w:val="bottom"/>
            <w:hideMark/>
          </w:tcPr>
          <w:p w14:paraId="29BDE3C0"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0.01</w:t>
            </w:r>
          </w:p>
        </w:tc>
        <w:tc>
          <w:tcPr>
            <w:tcW w:w="0" w:type="auto"/>
            <w:tcBorders>
              <w:top w:val="nil"/>
              <w:left w:val="nil"/>
              <w:bottom w:val="nil"/>
              <w:right w:val="nil"/>
            </w:tcBorders>
            <w:shd w:val="clear" w:color="auto" w:fill="auto"/>
            <w:noWrap/>
            <w:vAlign w:val="bottom"/>
            <w:hideMark/>
          </w:tcPr>
          <w:p w14:paraId="74D70FFE"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0.00</w:t>
            </w:r>
          </w:p>
        </w:tc>
      </w:tr>
      <w:tr w:rsidR="00696B0A" w:rsidRPr="00696B0A" w14:paraId="290DDE58" w14:textId="77777777" w:rsidTr="00696B0A">
        <w:trPr>
          <w:trHeight w:val="300"/>
        </w:trPr>
        <w:tc>
          <w:tcPr>
            <w:tcW w:w="0" w:type="auto"/>
            <w:tcBorders>
              <w:top w:val="nil"/>
              <w:left w:val="nil"/>
              <w:bottom w:val="nil"/>
              <w:right w:val="nil"/>
            </w:tcBorders>
            <w:shd w:val="clear" w:color="auto" w:fill="auto"/>
            <w:noWrap/>
            <w:vAlign w:val="bottom"/>
            <w:hideMark/>
          </w:tcPr>
          <w:p w14:paraId="43D75E34"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rcs(age,2)</w:t>
            </w:r>
          </w:p>
        </w:tc>
        <w:tc>
          <w:tcPr>
            <w:tcW w:w="0" w:type="auto"/>
            <w:tcBorders>
              <w:top w:val="nil"/>
              <w:left w:val="nil"/>
              <w:bottom w:val="nil"/>
              <w:right w:val="nil"/>
            </w:tcBorders>
            <w:shd w:val="clear" w:color="auto" w:fill="auto"/>
            <w:noWrap/>
            <w:vAlign w:val="bottom"/>
            <w:hideMark/>
          </w:tcPr>
          <w:p w14:paraId="3845D286"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-0.05</w:t>
            </w:r>
          </w:p>
        </w:tc>
        <w:tc>
          <w:tcPr>
            <w:tcW w:w="0" w:type="auto"/>
            <w:tcBorders>
              <w:top w:val="nil"/>
              <w:left w:val="nil"/>
              <w:bottom w:val="nil"/>
              <w:right w:val="nil"/>
            </w:tcBorders>
            <w:shd w:val="clear" w:color="auto" w:fill="auto"/>
            <w:noWrap/>
            <w:vAlign w:val="bottom"/>
            <w:hideMark/>
          </w:tcPr>
          <w:p w14:paraId="69AA2C27"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shd w:val="clear" w:color="auto" w:fill="auto"/>
            <w:noWrap/>
            <w:vAlign w:val="bottom"/>
            <w:hideMark/>
          </w:tcPr>
          <w:p w14:paraId="406CCD54"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0.01</w:t>
            </w:r>
          </w:p>
        </w:tc>
      </w:tr>
      <w:tr w:rsidR="00696B0A" w:rsidRPr="00696B0A" w14:paraId="3ABD6701" w14:textId="77777777" w:rsidTr="00696B0A">
        <w:trPr>
          <w:trHeight w:val="300"/>
        </w:trPr>
        <w:tc>
          <w:tcPr>
            <w:tcW w:w="0" w:type="auto"/>
            <w:tcBorders>
              <w:top w:val="nil"/>
              <w:left w:val="nil"/>
              <w:bottom w:val="nil"/>
              <w:right w:val="nil"/>
            </w:tcBorders>
            <w:shd w:val="clear" w:color="auto" w:fill="auto"/>
            <w:noWrap/>
            <w:vAlign w:val="bottom"/>
            <w:hideMark/>
          </w:tcPr>
          <w:p w14:paraId="14178CBF"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Female</w:t>
            </w:r>
          </w:p>
        </w:tc>
        <w:tc>
          <w:tcPr>
            <w:tcW w:w="0" w:type="auto"/>
            <w:tcBorders>
              <w:top w:val="nil"/>
              <w:left w:val="nil"/>
              <w:bottom w:val="nil"/>
              <w:right w:val="nil"/>
            </w:tcBorders>
            <w:shd w:val="clear" w:color="auto" w:fill="auto"/>
            <w:noWrap/>
            <w:vAlign w:val="bottom"/>
            <w:hideMark/>
          </w:tcPr>
          <w:p w14:paraId="667F2665"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0.15</w:t>
            </w:r>
          </w:p>
        </w:tc>
        <w:tc>
          <w:tcPr>
            <w:tcW w:w="0" w:type="auto"/>
            <w:tcBorders>
              <w:top w:val="nil"/>
              <w:left w:val="nil"/>
              <w:bottom w:val="nil"/>
              <w:right w:val="nil"/>
            </w:tcBorders>
            <w:shd w:val="clear" w:color="auto" w:fill="auto"/>
            <w:noWrap/>
            <w:vAlign w:val="bottom"/>
            <w:hideMark/>
          </w:tcPr>
          <w:p w14:paraId="36F0D492"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0.12</w:t>
            </w:r>
          </w:p>
        </w:tc>
        <w:tc>
          <w:tcPr>
            <w:tcW w:w="0" w:type="auto"/>
            <w:tcBorders>
              <w:top w:val="nil"/>
              <w:left w:val="nil"/>
              <w:bottom w:val="nil"/>
              <w:right w:val="nil"/>
            </w:tcBorders>
            <w:shd w:val="clear" w:color="auto" w:fill="auto"/>
            <w:noWrap/>
            <w:vAlign w:val="bottom"/>
            <w:hideMark/>
          </w:tcPr>
          <w:p w14:paraId="5017C3BF"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0.22</w:t>
            </w:r>
          </w:p>
        </w:tc>
      </w:tr>
      <w:tr w:rsidR="00696B0A" w:rsidRPr="00696B0A" w14:paraId="00654643" w14:textId="77777777" w:rsidTr="00696B0A">
        <w:trPr>
          <w:trHeight w:val="300"/>
        </w:trPr>
        <w:tc>
          <w:tcPr>
            <w:tcW w:w="0" w:type="auto"/>
            <w:tcBorders>
              <w:top w:val="nil"/>
              <w:left w:val="nil"/>
              <w:bottom w:val="nil"/>
              <w:right w:val="nil"/>
            </w:tcBorders>
            <w:shd w:val="clear" w:color="auto" w:fill="auto"/>
            <w:noWrap/>
            <w:vAlign w:val="bottom"/>
            <w:hideMark/>
          </w:tcPr>
          <w:p w14:paraId="0F256B6E"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Black</w:t>
            </w:r>
          </w:p>
        </w:tc>
        <w:tc>
          <w:tcPr>
            <w:tcW w:w="0" w:type="auto"/>
            <w:tcBorders>
              <w:top w:val="nil"/>
              <w:left w:val="nil"/>
              <w:bottom w:val="nil"/>
              <w:right w:val="nil"/>
            </w:tcBorders>
            <w:shd w:val="clear" w:color="auto" w:fill="auto"/>
            <w:noWrap/>
            <w:vAlign w:val="bottom"/>
            <w:hideMark/>
          </w:tcPr>
          <w:p w14:paraId="29971B2D"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0.14</w:t>
            </w:r>
          </w:p>
        </w:tc>
        <w:tc>
          <w:tcPr>
            <w:tcW w:w="0" w:type="auto"/>
            <w:tcBorders>
              <w:top w:val="nil"/>
              <w:left w:val="nil"/>
              <w:bottom w:val="nil"/>
              <w:right w:val="nil"/>
            </w:tcBorders>
            <w:shd w:val="clear" w:color="auto" w:fill="auto"/>
            <w:noWrap/>
            <w:vAlign w:val="bottom"/>
            <w:hideMark/>
          </w:tcPr>
          <w:p w14:paraId="24FA5A60"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0.16</w:t>
            </w:r>
          </w:p>
        </w:tc>
        <w:tc>
          <w:tcPr>
            <w:tcW w:w="0" w:type="auto"/>
            <w:tcBorders>
              <w:top w:val="nil"/>
              <w:left w:val="nil"/>
              <w:bottom w:val="nil"/>
              <w:right w:val="nil"/>
            </w:tcBorders>
            <w:shd w:val="clear" w:color="auto" w:fill="auto"/>
            <w:noWrap/>
            <w:vAlign w:val="bottom"/>
            <w:hideMark/>
          </w:tcPr>
          <w:p w14:paraId="3369E43A"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0.37</w:t>
            </w:r>
          </w:p>
        </w:tc>
      </w:tr>
      <w:tr w:rsidR="00696B0A" w:rsidRPr="00696B0A" w14:paraId="01A95DA7" w14:textId="77777777" w:rsidTr="00696B0A">
        <w:trPr>
          <w:trHeight w:val="300"/>
        </w:trPr>
        <w:tc>
          <w:tcPr>
            <w:tcW w:w="0" w:type="auto"/>
            <w:tcBorders>
              <w:top w:val="nil"/>
              <w:left w:val="nil"/>
              <w:bottom w:val="nil"/>
              <w:right w:val="nil"/>
            </w:tcBorders>
            <w:shd w:val="clear" w:color="auto" w:fill="auto"/>
            <w:noWrap/>
            <w:vAlign w:val="bottom"/>
            <w:hideMark/>
          </w:tcPr>
          <w:p w14:paraId="48452CDD" w14:textId="2FD3E36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 xml:space="preserve">Native </w:t>
            </w:r>
            <w:r w:rsidR="005B4607">
              <w:rPr>
                <w:rFonts w:ascii="Calibri" w:eastAsia="Times New Roman" w:hAnsi="Calibri" w:cs="Calibri"/>
                <w:color w:val="000000"/>
                <w:kern w:val="0"/>
                <w:sz w:val="22"/>
                <w:szCs w:val="22"/>
                <w14:ligatures w14:val="none"/>
              </w:rPr>
              <w:t>A</w:t>
            </w:r>
            <w:r w:rsidRPr="00696B0A">
              <w:rPr>
                <w:rFonts w:ascii="Calibri" w:eastAsia="Times New Roman" w:hAnsi="Calibri" w:cs="Calibri"/>
                <w:color w:val="000000"/>
                <w:kern w:val="0"/>
                <w:sz w:val="22"/>
                <w:szCs w:val="22"/>
                <w14:ligatures w14:val="none"/>
              </w:rPr>
              <w:t>merican</w:t>
            </w:r>
          </w:p>
        </w:tc>
        <w:tc>
          <w:tcPr>
            <w:tcW w:w="0" w:type="auto"/>
            <w:tcBorders>
              <w:top w:val="nil"/>
              <w:left w:val="nil"/>
              <w:bottom w:val="nil"/>
              <w:right w:val="nil"/>
            </w:tcBorders>
            <w:shd w:val="clear" w:color="auto" w:fill="auto"/>
            <w:noWrap/>
            <w:vAlign w:val="bottom"/>
            <w:hideMark/>
          </w:tcPr>
          <w:p w14:paraId="20D700CA"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0.09</w:t>
            </w:r>
          </w:p>
        </w:tc>
        <w:tc>
          <w:tcPr>
            <w:tcW w:w="0" w:type="auto"/>
            <w:tcBorders>
              <w:top w:val="nil"/>
              <w:left w:val="nil"/>
              <w:bottom w:val="nil"/>
              <w:right w:val="nil"/>
            </w:tcBorders>
            <w:shd w:val="clear" w:color="auto" w:fill="auto"/>
            <w:noWrap/>
            <w:vAlign w:val="bottom"/>
            <w:hideMark/>
          </w:tcPr>
          <w:p w14:paraId="734619D3"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0.36</w:t>
            </w:r>
          </w:p>
        </w:tc>
        <w:tc>
          <w:tcPr>
            <w:tcW w:w="0" w:type="auto"/>
            <w:tcBorders>
              <w:top w:val="nil"/>
              <w:left w:val="nil"/>
              <w:bottom w:val="nil"/>
              <w:right w:val="nil"/>
            </w:tcBorders>
            <w:shd w:val="clear" w:color="auto" w:fill="auto"/>
            <w:noWrap/>
            <w:vAlign w:val="bottom"/>
            <w:hideMark/>
          </w:tcPr>
          <w:p w14:paraId="6359A8B0"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0.81</w:t>
            </w:r>
          </w:p>
        </w:tc>
      </w:tr>
      <w:tr w:rsidR="00696B0A" w:rsidRPr="00696B0A" w14:paraId="0C4C80B5" w14:textId="77777777" w:rsidTr="00696B0A">
        <w:trPr>
          <w:trHeight w:val="300"/>
        </w:trPr>
        <w:tc>
          <w:tcPr>
            <w:tcW w:w="0" w:type="auto"/>
            <w:tcBorders>
              <w:top w:val="nil"/>
              <w:left w:val="nil"/>
              <w:bottom w:val="nil"/>
              <w:right w:val="nil"/>
            </w:tcBorders>
            <w:shd w:val="clear" w:color="auto" w:fill="auto"/>
            <w:noWrap/>
            <w:vAlign w:val="bottom"/>
            <w:hideMark/>
          </w:tcPr>
          <w:p w14:paraId="597A90DB"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Asian/Islander</w:t>
            </w:r>
          </w:p>
        </w:tc>
        <w:tc>
          <w:tcPr>
            <w:tcW w:w="0" w:type="auto"/>
            <w:tcBorders>
              <w:top w:val="nil"/>
              <w:left w:val="nil"/>
              <w:bottom w:val="nil"/>
              <w:right w:val="nil"/>
            </w:tcBorders>
            <w:shd w:val="clear" w:color="auto" w:fill="auto"/>
            <w:noWrap/>
            <w:vAlign w:val="bottom"/>
            <w:hideMark/>
          </w:tcPr>
          <w:p w14:paraId="4E13FC72"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c>
          <w:tcPr>
            <w:tcW w:w="0" w:type="auto"/>
            <w:tcBorders>
              <w:top w:val="nil"/>
              <w:left w:val="nil"/>
              <w:bottom w:val="nil"/>
              <w:right w:val="nil"/>
            </w:tcBorders>
            <w:shd w:val="clear" w:color="auto" w:fill="auto"/>
            <w:noWrap/>
            <w:vAlign w:val="bottom"/>
            <w:hideMark/>
          </w:tcPr>
          <w:p w14:paraId="6FC89361"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0.42</w:t>
            </w:r>
          </w:p>
        </w:tc>
        <w:tc>
          <w:tcPr>
            <w:tcW w:w="0" w:type="auto"/>
            <w:tcBorders>
              <w:top w:val="nil"/>
              <w:left w:val="nil"/>
              <w:bottom w:val="nil"/>
              <w:right w:val="nil"/>
            </w:tcBorders>
            <w:shd w:val="clear" w:color="auto" w:fill="auto"/>
            <w:noWrap/>
            <w:vAlign w:val="bottom"/>
            <w:hideMark/>
          </w:tcPr>
          <w:p w14:paraId="7CCAD4A4"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0.59</w:t>
            </w:r>
          </w:p>
        </w:tc>
      </w:tr>
      <w:tr w:rsidR="00696B0A" w:rsidRPr="00696B0A" w14:paraId="39D08521" w14:textId="77777777" w:rsidTr="00696B0A">
        <w:trPr>
          <w:trHeight w:val="300"/>
        </w:trPr>
        <w:tc>
          <w:tcPr>
            <w:tcW w:w="0" w:type="auto"/>
            <w:tcBorders>
              <w:top w:val="nil"/>
              <w:left w:val="nil"/>
              <w:bottom w:val="nil"/>
              <w:right w:val="nil"/>
            </w:tcBorders>
            <w:shd w:val="clear" w:color="auto" w:fill="auto"/>
            <w:noWrap/>
            <w:vAlign w:val="bottom"/>
            <w:hideMark/>
          </w:tcPr>
          <w:p w14:paraId="6DF24D3C"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multi-race</w:t>
            </w:r>
          </w:p>
        </w:tc>
        <w:tc>
          <w:tcPr>
            <w:tcW w:w="0" w:type="auto"/>
            <w:tcBorders>
              <w:top w:val="nil"/>
              <w:left w:val="nil"/>
              <w:bottom w:val="nil"/>
              <w:right w:val="nil"/>
            </w:tcBorders>
            <w:shd w:val="clear" w:color="auto" w:fill="auto"/>
            <w:noWrap/>
            <w:vAlign w:val="bottom"/>
            <w:hideMark/>
          </w:tcPr>
          <w:p w14:paraId="0389DA75"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-1.19</w:t>
            </w:r>
          </w:p>
        </w:tc>
        <w:tc>
          <w:tcPr>
            <w:tcW w:w="0" w:type="auto"/>
            <w:tcBorders>
              <w:top w:val="nil"/>
              <w:left w:val="nil"/>
              <w:bottom w:val="nil"/>
              <w:right w:val="nil"/>
            </w:tcBorders>
            <w:shd w:val="clear" w:color="auto" w:fill="auto"/>
            <w:noWrap/>
            <w:vAlign w:val="bottom"/>
            <w:hideMark/>
          </w:tcPr>
          <w:p w14:paraId="5A8E5E18"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0.29</w:t>
            </w:r>
          </w:p>
        </w:tc>
        <w:tc>
          <w:tcPr>
            <w:tcW w:w="0" w:type="auto"/>
            <w:tcBorders>
              <w:top w:val="nil"/>
              <w:left w:val="nil"/>
              <w:bottom w:val="nil"/>
              <w:right w:val="nil"/>
            </w:tcBorders>
            <w:shd w:val="clear" w:color="auto" w:fill="auto"/>
            <w:noWrap/>
            <w:vAlign w:val="bottom"/>
            <w:hideMark/>
          </w:tcPr>
          <w:p w14:paraId="22BCA346"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0.00</w:t>
            </w:r>
          </w:p>
        </w:tc>
      </w:tr>
      <w:tr w:rsidR="00696B0A" w:rsidRPr="00696B0A" w14:paraId="4314744C" w14:textId="77777777" w:rsidTr="00696B0A">
        <w:trPr>
          <w:trHeight w:val="300"/>
        </w:trPr>
        <w:tc>
          <w:tcPr>
            <w:tcW w:w="0" w:type="auto"/>
            <w:tcBorders>
              <w:top w:val="nil"/>
              <w:left w:val="nil"/>
              <w:bottom w:val="nil"/>
              <w:right w:val="nil"/>
            </w:tcBorders>
            <w:shd w:val="clear" w:color="auto" w:fill="auto"/>
            <w:noWrap/>
            <w:vAlign w:val="bottom"/>
            <w:hideMark/>
          </w:tcPr>
          <w:p w14:paraId="0F900E85"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Hispanic</w:t>
            </w:r>
          </w:p>
        </w:tc>
        <w:tc>
          <w:tcPr>
            <w:tcW w:w="0" w:type="auto"/>
            <w:tcBorders>
              <w:top w:val="nil"/>
              <w:left w:val="nil"/>
              <w:bottom w:val="nil"/>
              <w:right w:val="nil"/>
            </w:tcBorders>
            <w:shd w:val="clear" w:color="auto" w:fill="auto"/>
            <w:noWrap/>
            <w:vAlign w:val="bottom"/>
            <w:hideMark/>
          </w:tcPr>
          <w:p w14:paraId="2489BB64"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0.57</w:t>
            </w:r>
          </w:p>
        </w:tc>
        <w:tc>
          <w:tcPr>
            <w:tcW w:w="0" w:type="auto"/>
            <w:tcBorders>
              <w:top w:val="nil"/>
              <w:left w:val="nil"/>
              <w:bottom w:val="nil"/>
              <w:right w:val="nil"/>
            </w:tcBorders>
            <w:shd w:val="clear" w:color="auto" w:fill="auto"/>
            <w:noWrap/>
            <w:vAlign w:val="bottom"/>
            <w:hideMark/>
          </w:tcPr>
          <w:p w14:paraId="52E6B236"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0.19</w:t>
            </w:r>
          </w:p>
        </w:tc>
        <w:tc>
          <w:tcPr>
            <w:tcW w:w="0" w:type="auto"/>
            <w:tcBorders>
              <w:top w:val="nil"/>
              <w:left w:val="nil"/>
              <w:bottom w:val="nil"/>
              <w:right w:val="nil"/>
            </w:tcBorders>
            <w:shd w:val="clear" w:color="auto" w:fill="auto"/>
            <w:noWrap/>
            <w:vAlign w:val="bottom"/>
            <w:hideMark/>
          </w:tcPr>
          <w:p w14:paraId="774F9502"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0.00</w:t>
            </w:r>
          </w:p>
        </w:tc>
      </w:tr>
      <w:tr w:rsidR="00696B0A" w:rsidRPr="00696B0A" w14:paraId="2B2B31C3" w14:textId="77777777" w:rsidTr="00696B0A">
        <w:trPr>
          <w:trHeight w:val="300"/>
        </w:trPr>
        <w:tc>
          <w:tcPr>
            <w:tcW w:w="0" w:type="auto"/>
            <w:tcBorders>
              <w:top w:val="nil"/>
              <w:left w:val="nil"/>
              <w:bottom w:val="nil"/>
              <w:right w:val="nil"/>
            </w:tcBorders>
            <w:shd w:val="clear" w:color="auto" w:fill="auto"/>
            <w:noWrap/>
            <w:vAlign w:val="bottom"/>
            <w:hideMark/>
          </w:tcPr>
          <w:p w14:paraId="02BE6A25"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Northeast</w:t>
            </w:r>
          </w:p>
        </w:tc>
        <w:tc>
          <w:tcPr>
            <w:tcW w:w="0" w:type="auto"/>
            <w:tcBorders>
              <w:top w:val="nil"/>
              <w:left w:val="nil"/>
              <w:bottom w:val="nil"/>
              <w:right w:val="nil"/>
            </w:tcBorders>
            <w:shd w:val="clear" w:color="auto" w:fill="auto"/>
            <w:noWrap/>
            <w:vAlign w:val="bottom"/>
            <w:hideMark/>
          </w:tcPr>
          <w:p w14:paraId="5DFABB72"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-0.10</w:t>
            </w:r>
          </w:p>
        </w:tc>
        <w:tc>
          <w:tcPr>
            <w:tcW w:w="0" w:type="auto"/>
            <w:tcBorders>
              <w:top w:val="nil"/>
              <w:left w:val="nil"/>
              <w:bottom w:val="nil"/>
              <w:right w:val="nil"/>
            </w:tcBorders>
            <w:shd w:val="clear" w:color="auto" w:fill="auto"/>
            <w:noWrap/>
            <w:vAlign w:val="bottom"/>
            <w:hideMark/>
          </w:tcPr>
          <w:p w14:paraId="76F5F27C"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0.26</w:t>
            </w:r>
          </w:p>
        </w:tc>
        <w:tc>
          <w:tcPr>
            <w:tcW w:w="0" w:type="auto"/>
            <w:tcBorders>
              <w:top w:val="nil"/>
              <w:left w:val="nil"/>
              <w:bottom w:val="nil"/>
              <w:right w:val="nil"/>
            </w:tcBorders>
            <w:shd w:val="clear" w:color="auto" w:fill="auto"/>
            <w:noWrap/>
            <w:vAlign w:val="bottom"/>
            <w:hideMark/>
          </w:tcPr>
          <w:p w14:paraId="5464695F"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0.70</w:t>
            </w:r>
          </w:p>
        </w:tc>
      </w:tr>
      <w:tr w:rsidR="00696B0A" w:rsidRPr="00696B0A" w14:paraId="12028B61" w14:textId="77777777" w:rsidTr="00696B0A">
        <w:trPr>
          <w:trHeight w:val="300"/>
        </w:trPr>
        <w:tc>
          <w:tcPr>
            <w:tcW w:w="0" w:type="auto"/>
            <w:tcBorders>
              <w:top w:val="nil"/>
              <w:left w:val="nil"/>
              <w:bottom w:val="nil"/>
              <w:right w:val="nil"/>
            </w:tcBorders>
            <w:shd w:val="clear" w:color="auto" w:fill="auto"/>
            <w:noWrap/>
            <w:vAlign w:val="bottom"/>
            <w:hideMark/>
          </w:tcPr>
          <w:p w14:paraId="3320CDEC"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Midwest</w:t>
            </w:r>
          </w:p>
        </w:tc>
        <w:tc>
          <w:tcPr>
            <w:tcW w:w="0" w:type="auto"/>
            <w:tcBorders>
              <w:top w:val="nil"/>
              <w:left w:val="nil"/>
              <w:bottom w:val="nil"/>
              <w:right w:val="nil"/>
            </w:tcBorders>
            <w:shd w:val="clear" w:color="auto" w:fill="auto"/>
            <w:noWrap/>
            <w:vAlign w:val="bottom"/>
            <w:hideMark/>
          </w:tcPr>
          <w:p w14:paraId="0C88A689"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-0.20</w:t>
            </w:r>
          </w:p>
        </w:tc>
        <w:tc>
          <w:tcPr>
            <w:tcW w:w="0" w:type="auto"/>
            <w:tcBorders>
              <w:top w:val="nil"/>
              <w:left w:val="nil"/>
              <w:bottom w:val="nil"/>
              <w:right w:val="nil"/>
            </w:tcBorders>
            <w:shd w:val="clear" w:color="auto" w:fill="auto"/>
            <w:noWrap/>
            <w:vAlign w:val="bottom"/>
            <w:hideMark/>
          </w:tcPr>
          <w:p w14:paraId="71699A67"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shd w:val="clear" w:color="auto" w:fill="auto"/>
            <w:noWrap/>
            <w:vAlign w:val="bottom"/>
            <w:hideMark/>
          </w:tcPr>
          <w:p w14:paraId="7B5549F1"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0.41</w:t>
            </w:r>
          </w:p>
        </w:tc>
      </w:tr>
      <w:tr w:rsidR="00696B0A" w:rsidRPr="00696B0A" w14:paraId="637FAA3D" w14:textId="77777777" w:rsidTr="00696B0A">
        <w:trPr>
          <w:trHeight w:val="300"/>
        </w:trPr>
        <w:tc>
          <w:tcPr>
            <w:tcW w:w="0" w:type="auto"/>
            <w:tcBorders>
              <w:top w:val="nil"/>
              <w:left w:val="nil"/>
              <w:bottom w:val="nil"/>
              <w:right w:val="nil"/>
            </w:tcBorders>
            <w:shd w:val="clear" w:color="auto" w:fill="auto"/>
            <w:noWrap/>
            <w:vAlign w:val="bottom"/>
            <w:hideMark/>
          </w:tcPr>
          <w:p w14:paraId="06A9C037"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South</w:t>
            </w:r>
          </w:p>
        </w:tc>
        <w:tc>
          <w:tcPr>
            <w:tcW w:w="0" w:type="auto"/>
            <w:tcBorders>
              <w:top w:val="nil"/>
              <w:left w:val="nil"/>
              <w:bottom w:val="nil"/>
              <w:right w:val="nil"/>
            </w:tcBorders>
            <w:shd w:val="clear" w:color="auto" w:fill="auto"/>
            <w:noWrap/>
            <w:vAlign w:val="bottom"/>
            <w:hideMark/>
          </w:tcPr>
          <w:p w14:paraId="393FA565"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-0.10</w:t>
            </w:r>
          </w:p>
        </w:tc>
        <w:tc>
          <w:tcPr>
            <w:tcW w:w="0" w:type="auto"/>
            <w:tcBorders>
              <w:top w:val="nil"/>
              <w:left w:val="nil"/>
              <w:bottom w:val="nil"/>
              <w:right w:val="nil"/>
            </w:tcBorders>
            <w:shd w:val="clear" w:color="auto" w:fill="auto"/>
            <w:noWrap/>
            <w:vAlign w:val="bottom"/>
            <w:hideMark/>
          </w:tcPr>
          <w:p w14:paraId="59B8DBFF"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c>
          <w:tcPr>
            <w:tcW w:w="0" w:type="auto"/>
            <w:tcBorders>
              <w:top w:val="nil"/>
              <w:left w:val="nil"/>
              <w:bottom w:val="nil"/>
              <w:right w:val="nil"/>
            </w:tcBorders>
            <w:shd w:val="clear" w:color="auto" w:fill="auto"/>
            <w:noWrap/>
            <w:vAlign w:val="bottom"/>
            <w:hideMark/>
          </w:tcPr>
          <w:p w14:paraId="23DCAA58"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0.66</w:t>
            </w:r>
          </w:p>
        </w:tc>
      </w:tr>
      <w:tr w:rsidR="00696B0A" w:rsidRPr="00696B0A" w14:paraId="3714918F" w14:textId="77777777" w:rsidTr="00696B0A">
        <w:trPr>
          <w:trHeight w:val="300"/>
        </w:trPr>
        <w:tc>
          <w:tcPr>
            <w:tcW w:w="0" w:type="auto"/>
            <w:tcBorders>
              <w:top w:val="nil"/>
              <w:left w:val="nil"/>
              <w:bottom w:val="nil"/>
              <w:right w:val="nil"/>
            </w:tcBorders>
            <w:shd w:val="clear" w:color="auto" w:fill="auto"/>
            <w:noWrap/>
            <w:vAlign w:val="bottom"/>
            <w:hideMark/>
          </w:tcPr>
          <w:p w14:paraId="33B2CFCF"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West</w:t>
            </w:r>
          </w:p>
        </w:tc>
        <w:tc>
          <w:tcPr>
            <w:tcW w:w="0" w:type="auto"/>
            <w:tcBorders>
              <w:top w:val="nil"/>
              <w:left w:val="nil"/>
              <w:bottom w:val="nil"/>
              <w:right w:val="nil"/>
            </w:tcBorders>
            <w:shd w:val="clear" w:color="auto" w:fill="auto"/>
            <w:noWrap/>
            <w:vAlign w:val="bottom"/>
            <w:hideMark/>
          </w:tcPr>
          <w:p w14:paraId="6DDB1662"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shd w:val="clear" w:color="auto" w:fill="auto"/>
            <w:noWrap/>
            <w:vAlign w:val="bottom"/>
            <w:hideMark/>
          </w:tcPr>
          <w:p w14:paraId="08F693CF"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shd w:val="clear" w:color="auto" w:fill="auto"/>
            <w:noWrap/>
            <w:vAlign w:val="bottom"/>
            <w:hideMark/>
          </w:tcPr>
          <w:p w14:paraId="76911661"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0.32</w:t>
            </w:r>
          </w:p>
        </w:tc>
      </w:tr>
      <w:tr w:rsidR="00696B0A" w:rsidRPr="00696B0A" w14:paraId="69D14BB9" w14:textId="77777777" w:rsidTr="00696B0A">
        <w:trPr>
          <w:trHeight w:val="300"/>
        </w:trPr>
        <w:tc>
          <w:tcPr>
            <w:tcW w:w="0" w:type="auto"/>
            <w:tcBorders>
              <w:top w:val="nil"/>
              <w:left w:val="nil"/>
              <w:bottom w:val="nil"/>
              <w:right w:val="nil"/>
            </w:tcBorders>
            <w:shd w:val="clear" w:color="auto" w:fill="auto"/>
            <w:noWrap/>
            <w:vAlign w:val="bottom"/>
            <w:hideMark/>
          </w:tcPr>
          <w:p w14:paraId="2B20DA6A"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Pop 50k to 250k</w:t>
            </w:r>
          </w:p>
        </w:tc>
        <w:tc>
          <w:tcPr>
            <w:tcW w:w="0" w:type="auto"/>
            <w:tcBorders>
              <w:top w:val="nil"/>
              <w:left w:val="nil"/>
              <w:bottom w:val="nil"/>
              <w:right w:val="nil"/>
            </w:tcBorders>
            <w:shd w:val="clear" w:color="auto" w:fill="auto"/>
            <w:noWrap/>
            <w:vAlign w:val="bottom"/>
            <w:hideMark/>
          </w:tcPr>
          <w:p w14:paraId="2667E894"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0.18</w:t>
            </w:r>
          </w:p>
        </w:tc>
        <w:tc>
          <w:tcPr>
            <w:tcW w:w="0" w:type="auto"/>
            <w:tcBorders>
              <w:top w:val="nil"/>
              <w:left w:val="nil"/>
              <w:bottom w:val="nil"/>
              <w:right w:val="nil"/>
            </w:tcBorders>
            <w:shd w:val="clear" w:color="auto" w:fill="auto"/>
            <w:noWrap/>
            <w:vAlign w:val="bottom"/>
            <w:hideMark/>
          </w:tcPr>
          <w:p w14:paraId="7B5247F5"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0.15</w:t>
            </w:r>
          </w:p>
        </w:tc>
        <w:tc>
          <w:tcPr>
            <w:tcW w:w="0" w:type="auto"/>
            <w:tcBorders>
              <w:top w:val="nil"/>
              <w:left w:val="nil"/>
              <w:bottom w:val="nil"/>
              <w:right w:val="nil"/>
            </w:tcBorders>
            <w:shd w:val="clear" w:color="auto" w:fill="auto"/>
            <w:noWrap/>
            <w:vAlign w:val="bottom"/>
            <w:hideMark/>
          </w:tcPr>
          <w:p w14:paraId="1E9F8C2D"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r>
      <w:tr w:rsidR="00696B0A" w:rsidRPr="00696B0A" w14:paraId="1682A3F8" w14:textId="77777777" w:rsidTr="00696B0A">
        <w:trPr>
          <w:trHeight w:val="300"/>
        </w:trPr>
        <w:tc>
          <w:tcPr>
            <w:tcW w:w="0" w:type="auto"/>
            <w:tcBorders>
              <w:top w:val="nil"/>
              <w:left w:val="nil"/>
              <w:bottom w:val="single" w:sz="4" w:space="0" w:color="auto"/>
              <w:right w:val="nil"/>
            </w:tcBorders>
            <w:shd w:val="clear" w:color="auto" w:fill="auto"/>
            <w:noWrap/>
            <w:vAlign w:val="bottom"/>
            <w:hideMark/>
          </w:tcPr>
          <w:p w14:paraId="1D52ECF3" w14:textId="77777777" w:rsidR="00696B0A" w:rsidRPr="00696B0A" w:rsidRDefault="00696B0A" w:rsidP="00696B0A">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Pop over 250k</w:t>
            </w:r>
          </w:p>
        </w:tc>
        <w:tc>
          <w:tcPr>
            <w:tcW w:w="0" w:type="auto"/>
            <w:tcBorders>
              <w:top w:val="nil"/>
              <w:left w:val="nil"/>
              <w:bottom w:val="single" w:sz="4" w:space="0" w:color="auto"/>
              <w:right w:val="nil"/>
            </w:tcBorders>
            <w:shd w:val="clear" w:color="auto" w:fill="auto"/>
            <w:noWrap/>
            <w:vAlign w:val="bottom"/>
            <w:hideMark/>
          </w:tcPr>
          <w:p w14:paraId="1158D99B"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0.21</w:t>
            </w:r>
          </w:p>
        </w:tc>
        <w:tc>
          <w:tcPr>
            <w:tcW w:w="0" w:type="auto"/>
            <w:tcBorders>
              <w:top w:val="nil"/>
              <w:left w:val="nil"/>
              <w:bottom w:val="single" w:sz="4" w:space="0" w:color="auto"/>
              <w:right w:val="nil"/>
            </w:tcBorders>
            <w:shd w:val="clear" w:color="auto" w:fill="auto"/>
            <w:noWrap/>
            <w:vAlign w:val="bottom"/>
            <w:hideMark/>
          </w:tcPr>
          <w:p w14:paraId="18A0D30C"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0.16</w:t>
            </w:r>
          </w:p>
        </w:tc>
        <w:tc>
          <w:tcPr>
            <w:tcW w:w="0" w:type="auto"/>
            <w:tcBorders>
              <w:top w:val="nil"/>
              <w:left w:val="nil"/>
              <w:bottom w:val="single" w:sz="4" w:space="0" w:color="auto"/>
              <w:right w:val="nil"/>
            </w:tcBorders>
            <w:shd w:val="clear" w:color="auto" w:fill="auto"/>
            <w:noWrap/>
            <w:vAlign w:val="bottom"/>
            <w:hideMark/>
          </w:tcPr>
          <w:p w14:paraId="6CCD2EA0" w14:textId="77777777" w:rsidR="00696B0A" w:rsidRPr="00696B0A" w:rsidRDefault="00696B0A" w:rsidP="00696B0A">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0.19</w:t>
            </w:r>
          </w:p>
        </w:tc>
      </w:tr>
    </w:tbl>
    <w:p w14:paraId="6AB1D6C2" w14:textId="77777777" w:rsidR="004A1542" w:rsidRDefault="004A1542"/>
    <w:p w14:paraId="5DC3FDB3" w14:textId="5A932DCA" w:rsidR="00696B0A" w:rsidRPr="00824585" w:rsidRDefault="00696B0A" w:rsidP="00696B0A">
      <w:r>
        <w:t xml:space="preserve">The coefficients are often not of much interest directly. </w:t>
      </w:r>
      <w:r>
        <w:t>We note that here all that matters is the accuracy of the predicted probability, the fact that many coefficients are not statistically significant is immaterial to whether our estimates</w:t>
      </w:r>
      <w:r>
        <w:t xml:space="preserve"> are accurate or not. The non-linear terms of age and year show perhaps the most interesting patterns. Figure 1 shows the marginal age effect and Figure 2 shows the marginal year effect over the sample.</w:t>
      </w:r>
      <w:r w:rsidR="00AA2250">
        <w:t xml:space="preserve"> Age effects show a curve, with a peak at the early 40’s with a reporting rate of 73%. Year effects show a decrease in recent years, with rates climbing post 1992 and peaking at 72% in 2008 and declining to 68% in 2022.</w:t>
      </w:r>
    </w:p>
    <w:p w14:paraId="6F77859C" w14:textId="77777777" w:rsidR="00AA2250" w:rsidRDefault="00AA2250" w:rsidP="00AA2250">
      <w:pPr>
        <w:keepNext/>
      </w:pPr>
      <w:r>
        <w:rPr>
          <w:noProof/>
        </w:rPr>
        <w:lastRenderedPageBreak/>
        <w:drawing>
          <wp:inline distT="0" distB="0" distL="0" distR="0" wp14:anchorId="6F40B8BA" wp14:editId="0223F357">
            <wp:extent cx="4800600" cy="3200400"/>
            <wp:effectExtent l="0" t="0" r="0" b="0"/>
            <wp:docPr id="182163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14:paraId="226DF42E" w14:textId="27EFE314" w:rsidR="001C20D2" w:rsidRPr="00AA2250" w:rsidRDefault="00AA2250" w:rsidP="00AA2250">
      <w:pPr>
        <w:pStyle w:val="Caption"/>
        <w:rPr>
          <w:color w:val="auto"/>
          <w:sz w:val="24"/>
          <w:szCs w:val="24"/>
        </w:rPr>
      </w:pPr>
      <w:r w:rsidRPr="00AA2250">
        <w:rPr>
          <w:color w:val="auto"/>
          <w:sz w:val="24"/>
          <w:szCs w:val="24"/>
        </w:rPr>
        <w:t xml:space="preserve">Figure </w:t>
      </w:r>
      <w:r w:rsidRPr="00AA2250">
        <w:rPr>
          <w:color w:val="auto"/>
          <w:sz w:val="24"/>
          <w:szCs w:val="24"/>
        </w:rPr>
        <w:fldChar w:fldCharType="begin"/>
      </w:r>
      <w:r w:rsidRPr="00AA2250">
        <w:rPr>
          <w:color w:val="auto"/>
          <w:sz w:val="24"/>
          <w:szCs w:val="24"/>
        </w:rPr>
        <w:instrText xml:space="preserve"> SEQ Figure \* ARABIC </w:instrText>
      </w:r>
      <w:r w:rsidRPr="00AA2250">
        <w:rPr>
          <w:color w:val="auto"/>
          <w:sz w:val="24"/>
          <w:szCs w:val="24"/>
        </w:rPr>
        <w:fldChar w:fldCharType="separate"/>
      </w:r>
      <w:r w:rsidR="00CD7BD6">
        <w:rPr>
          <w:noProof/>
          <w:color w:val="auto"/>
          <w:sz w:val="24"/>
          <w:szCs w:val="24"/>
        </w:rPr>
        <w:t>1</w:t>
      </w:r>
      <w:r w:rsidRPr="00AA2250">
        <w:rPr>
          <w:color w:val="auto"/>
          <w:sz w:val="24"/>
          <w:szCs w:val="24"/>
        </w:rPr>
        <w:fldChar w:fldCharType="end"/>
      </w:r>
      <w:r w:rsidRPr="00AA2250">
        <w:rPr>
          <w:color w:val="auto"/>
          <w:sz w:val="24"/>
          <w:szCs w:val="24"/>
        </w:rPr>
        <w:t>: Marginal Age Effects in NCVS Sample</w:t>
      </w:r>
    </w:p>
    <w:p w14:paraId="63214B60" w14:textId="77777777" w:rsidR="001C20D2" w:rsidRDefault="001C20D2" w:rsidP="001C20D2">
      <w:pPr>
        <w:pStyle w:val="ListParagraph"/>
        <w:numPr>
          <w:ilvl w:val="0"/>
          <w:numId w:val="0"/>
        </w:numPr>
        <w:ind w:left="420"/>
      </w:pPr>
    </w:p>
    <w:p w14:paraId="06EE9D0D" w14:textId="77777777" w:rsidR="00AA2250" w:rsidRDefault="00AA2250" w:rsidP="00AA2250">
      <w:pPr>
        <w:keepNext/>
      </w:pPr>
      <w:r>
        <w:rPr>
          <w:noProof/>
        </w:rPr>
        <w:drawing>
          <wp:inline distT="0" distB="0" distL="0" distR="0" wp14:anchorId="3A56B57E" wp14:editId="47F38F84">
            <wp:extent cx="4800600" cy="3200400"/>
            <wp:effectExtent l="0" t="0" r="0" b="0"/>
            <wp:docPr id="653977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14:paraId="5F779621" w14:textId="7107047E" w:rsidR="001C20D2" w:rsidRPr="00AA2250" w:rsidRDefault="00AA2250" w:rsidP="00AA2250">
      <w:pPr>
        <w:pStyle w:val="Caption"/>
        <w:rPr>
          <w:color w:val="auto"/>
          <w:sz w:val="24"/>
          <w:szCs w:val="24"/>
        </w:rPr>
      </w:pPr>
      <w:r w:rsidRPr="00AA2250">
        <w:rPr>
          <w:color w:val="auto"/>
          <w:sz w:val="24"/>
          <w:szCs w:val="24"/>
        </w:rPr>
        <w:t xml:space="preserve">Figure </w:t>
      </w:r>
      <w:r w:rsidRPr="00AA2250">
        <w:rPr>
          <w:color w:val="auto"/>
          <w:sz w:val="24"/>
          <w:szCs w:val="24"/>
        </w:rPr>
        <w:fldChar w:fldCharType="begin"/>
      </w:r>
      <w:r w:rsidRPr="00AA2250">
        <w:rPr>
          <w:color w:val="auto"/>
          <w:sz w:val="24"/>
          <w:szCs w:val="24"/>
        </w:rPr>
        <w:instrText xml:space="preserve"> SEQ Figure \* ARABIC </w:instrText>
      </w:r>
      <w:r w:rsidRPr="00AA2250">
        <w:rPr>
          <w:color w:val="auto"/>
          <w:sz w:val="24"/>
          <w:szCs w:val="24"/>
        </w:rPr>
        <w:fldChar w:fldCharType="separate"/>
      </w:r>
      <w:r w:rsidR="00CD7BD6">
        <w:rPr>
          <w:noProof/>
          <w:color w:val="auto"/>
          <w:sz w:val="24"/>
          <w:szCs w:val="24"/>
        </w:rPr>
        <w:t>2</w:t>
      </w:r>
      <w:r w:rsidRPr="00AA2250">
        <w:rPr>
          <w:color w:val="auto"/>
          <w:sz w:val="24"/>
          <w:szCs w:val="24"/>
        </w:rPr>
        <w:fldChar w:fldCharType="end"/>
      </w:r>
      <w:r w:rsidRPr="00AA2250">
        <w:rPr>
          <w:color w:val="auto"/>
          <w:sz w:val="24"/>
          <w:szCs w:val="24"/>
        </w:rPr>
        <w:t>: Marginal Year Effects in NCVS Sample</w:t>
      </w:r>
    </w:p>
    <w:p w14:paraId="09DE8D9D" w14:textId="06967959" w:rsidR="00A43661" w:rsidRDefault="0045390E" w:rsidP="004A1542">
      <w:r>
        <w:t xml:space="preserve">To establish the validity of the model, we show the models predicted calibration. Table 2 takes the predicted probability values for the slightly more than 1,500 NCVS reports, and cuts them into deciles, and shows the models predicted total reported events versus those predicted. One </w:t>
      </w:r>
      <w:r>
        <w:lastRenderedPageBreak/>
        <w:t>can see from Table 2 that the model is well calibrated, and thus is likely valid to up-adjust reported NIBRS data.</w:t>
      </w:r>
    </w:p>
    <w:p w14:paraId="79370C1D" w14:textId="4628653B" w:rsidR="001500F3" w:rsidRPr="001500F3" w:rsidRDefault="001500F3" w:rsidP="001500F3">
      <w:pPr>
        <w:pStyle w:val="Caption"/>
        <w:keepNext/>
        <w:rPr>
          <w:color w:val="auto"/>
          <w:sz w:val="24"/>
          <w:szCs w:val="24"/>
        </w:rPr>
      </w:pPr>
      <w:r w:rsidRPr="001500F3">
        <w:rPr>
          <w:color w:val="auto"/>
          <w:sz w:val="24"/>
          <w:szCs w:val="24"/>
        </w:rPr>
        <w:t xml:space="preserve">Table </w:t>
      </w:r>
      <w:r w:rsidRPr="001500F3">
        <w:rPr>
          <w:color w:val="auto"/>
          <w:sz w:val="24"/>
          <w:szCs w:val="24"/>
        </w:rPr>
        <w:fldChar w:fldCharType="begin"/>
      </w:r>
      <w:r w:rsidRPr="001500F3">
        <w:rPr>
          <w:color w:val="auto"/>
          <w:sz w:val="24"/>
          <w:szCs w:val="24"/>
        </w:rPr>
        <w:instrText xml:space="preserve"> SEQ Table \* ARABIC </w:instrText>
      </w:r>
      <w:r w:rsidRPr="001500F3">
        <w:rPr>
          <w:color w:val="auto"/>
          <w:sz w:val="24"/>
          <w:szCs w:val="24"/>
        </w:rPr>
        <w:fldChar w:fldCharType="separate"/>
      </w:r>
      <w:r w:rsidRPr="001500F3">
        <w:rPr>
          <w:noProof/>
          <w:color w:val="auto"/>
          <w:sz w:val="24"/>
          <w:szCs w:val="24"/>
        </w:rPr>
        <w:t>2</w:t>
      </w:r>
      <w:r w:rsidRPr="001500F3">
        <w:rPr>
          <w:color w:val="auto"/>
          <w:sz w:val="24"/>
          <w:szCs w:val="24"/>
        </w:rPr>
        <w:fldChar w:fldCharType="end"/>
      </w:r>
      <w:r w:rsidRPr="001500F3">
        <w:rPr>
          <w:color w:val="auto"/>
          <w:sz w:val="24"/>
          <w:szCs w:val="24"/>
        </w:rPr>
        <w:t>: Calibration of Model</w:t>
      </w:r>
    </w:p>
    <w:tbl>
      <w:tblPr>
        <w:tblW w:w="0" w:type="auto"/>
        <w:tblLook w:val="04A0" w:firstRow="1" w:lastRow="0" w:firstColumn="1" w:lastColumn="0" w:noHBand="0" w:noVBand="1"/>
      </w:tblPr>
      <w:tblGrid>
        <w:gridCol w:w="777"/>
        <w:gridCol w:w="1856"/>
        <w:gridCol w:w="1855"/>
      </w:tblGrid>
      <w:tr w:rsidR="001500F3" w:rsidRPr="001500F3" w14:paraId="1675BFCF" w14:textId="77777777" w:rsidTr="001500F3">
        <w:trPr>
          <w:trHeight w:val="300"/>
        </w:trPr>
        <w:tc>
          <w:tcPr>
            <w:tcW w:w="0" w:type="auto"/>
            <w:tcBorders>
              <w:top w:val="nil"/>
              <w:left w:val="nil"/>
              <w:bottom w:val="single" w:sz="4" w:space="0" w:color="auto"/>
              <w:right w:val="nil"/>
            </w:tcBorders>
            <w:shd w:val="clear" w:color="auto" w:fill="auto"/>
            <w:noWrap/>
            <w:vAlign w:val="bottom"/>
            <w:hideMark/>
          </w:tcPr>
          <w:p w14:paraId="079BD274"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Decile</w:t>
            </w:r>
          </w:p>
        </w:tc>
        <w:tc>
          <w:tcPr>
            <w:tcW w:w="0" w:type="auto"/>
            <w:tcBorders>
              <w:top w:val="nil"/>
              <w:left w:val="nil"/>
              <w:bottom w:val="single" w:sz="4" w:space="0" w:color="auto"/>
              <w:right w:val="nil"/>
            </w:tcBorders>
            <w:shd w:val="clear" w:color="auto" w:fill="auto"/>
            <w:noWrap/>
            <w:vAlign w:val="bottom"/>
            <w:hideMark/>
          </w:tcPr>
          <w:p w14:paraId="7FE57053"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Observed Reports</w:t>
            </w:r>
          </w:p>
        </w:tc>
        <w:tc>
          <w:tcPr>
            <w:tcW w:w="0" w:type="auto"/>
            <w:tcBorders>
              <w:top w:val="nil"/>
              <w:left w:val="nil"/>
              <w:bottom w:val="single" w:sz="4" w:space="0" w:color="auto"/>
              <w:right w:val="nil"/>
            </w:tcBorders>
            <w:shd w:val="clear" w:color="auto" w:fill="auto"/>
            <w:noWrap/>
            <w:vAlign w:val="bottom"/>
            <w:hideMark/>
          </w:tcPr>
          <w:p w14:paraId="201310BC"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Predicted Reports</w:t>
            </w:r>
          </w:p>
        </w:tc>
      </w:tr>
      <w:tr w:rsidR="001500F3" w:rsidRPr="001500F3" w14:paraId="46558250" w14:textId="77777777" w:rsidTr="001500F3">
        <w:trPr>
          <w:trHeight w:val="300"/>
        </w:trPr>
        <w:tc>
          <w:tcPr>
            <w:tcW w:w="0" w:type="auto"/>
            <w:tcBorders>
              <w:top w:val="nil"/>
              <w:left w:val="nil"/>
              <w:bottom w:val="nil"/>
              <w:right w:val="nil"/>
            </w:tcBorders>
            <w:shd w:val="clear" w:color="auto" w:fill="auto"/>
            <w:noWrap/>
            <w:vAlign w:val="bottom"/>
            <w:hideMark/>
          </w:tcPr>
          <w:p w14:paraId="3E4C34ED"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0C9741F1"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74</w:t>
            </w:r>
          </w:p>
        </w:tc>
        <w:tc>
          <w:tcPr>
            <w:tcW w:w="0" w:type="auto"/>
            <w:tcBorders>
              <w:top w:val="nil"/>
              <w:left w:val="nil"/>
              <w:bottom w:val="nil"/>
              <w:right w:val="nil"/>
            </w:tcBorders>
            <w:shd w:val="clear" w:color="auto" w:fill="auto"/>
            <w:noWrap/>
            <w:vAlign w:val="bottom"/>
            <w:hideMark/>
          </w:tcPr>
          <w:p w14:paraId="21C965DD"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75.4</w:t>
            </w:r>
          </w:p>
        </w:tc>
      </w:tr>
      <w:tr w:rsidR="001500F3" w:rsidRPr="001500F3" w14:paraId="4DDB78D5" w14:textId="77777777" w:rsidTr="001500F3">
        <w:trPr>
          <w:trHeight w:val="300"/>
        </w:trPr>
        <w:tc>
          <w:tcPr>
            <w:tcW w:w="0" w:type="auto"/>
            <w:tcBorders>
              <w:top w:val="nil"/>
              <w:left w:val="nil"/>
              <w:bottom w:val="nil"/>
              <w:right w:val="nil"/>
            </w:tcBorders>
            <w:shd w:val="clear" w:color="auto" w:fill="auto"/>
            <w:noWrap/>
            <w:vAlign w:val="bottom"/>
            <w:hideMark/>
          </w:tcPr>
          <w:p w14:paraId="59750549"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2</w:t>
            </w:r>
          </w:p>
        </w:tc>
        <w:tc>
          <w:tcPr>
            <w:tcW w:w="0" w:type="auto"/>
            <w:tcBorders>
              <w:top w:val="nil"/>
              <w:left w:val="nil"/>
              <w:bottom w:val="nil"/>
              <w:right w:val="nil"/>
            </w:tcBorders>
            <w:shd w:val="clear" w:color="auto" w:fill="auto"/>
            <w:noWrap/>
            <w:vAlign w:val="bottom"/>
            <w:hideMark/>
          </w:tcPr>
          <w:p w14:paraId="7958B3A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95</w:t>
            </w:r>
          </w:p>
        </w:tc>
        <w:tc>
          <w:tcPr>
            <w:tcW w:w="0" w:type="auto"/>
            <w:tcBorders>
              <w:top w:val="nil"/>
              <w:left w:val="nil"/>
              <w:bottom w:val="nil"/>
              <w:right w:val="nil"/>
            </w:tcBorders>
            <w:shd w:val="clear" w:color="auto" w:fill="auto"/>
            <w:noWrap/>
            <w:vAlign w:val="bottom"/>
            <w:hideMark/>
          </w:tcPr>
          <w:p w14:paraId="5AF04031"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89.8</w:t>
            </w:r>
          </w:p>
        </w:tc>
      </w:tr>
      <w:tr w:rsidR="001500F3" w:rsidRPr="001500F3" w14:paraId="5E08B4E2" w14:textId="77777777" w:rsidTr="001500F3">
        <w:trPr>
          <w:trHeight w:val="300"/>
        </w:trPr>
        <w:tc>
          <w:tcPr>
            <w:tcW w:w="0" w:type="auto"/>
            <w:tcBorders>
              <w:top w:val="nil"/>
              <w:left w:val="nil"/>
              <w:bottom w:val="nil"/>
              <w:right w:val="nil"/>
            </w:tcBorders>
            <w:shd w:val="clear" w:color="auto" w:fill="auto"/>
            <w:noWrap/>
            <w:vAlign w:val="bottom"/>
            <w:hideMark/>
          </w:tcPr>
          <w:p w14:paraId="77B765D5"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3</w:t>
            </w:r>
          </w:p>
        </w:tc>
        <w:tc>
          <w:tcPr>
            <w:tcW w:w="0" w:type="auto"/>
            <w:tcBorders>
              <w:top w:val="nil"/>
              <w:left w:val="nil"/>
              <w:bottom w:val="nil"/>
              <w:right w:val="nil"/>
            </w:tcBorders>
            <w:shd w:val="clear" w:color="auto" w:fill="auto"/>
            <w:noWrap/>
            <w:vAlign w:val="bottom"/>
            <w:hideMark/>
          </w:tcPr>
          <w:p w14:paraId="51CA9024"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91</w:t>
            </w:r>
          </w:p>
        </w:tc>
        <w:tc>
          <w:tcPr>
            <w:tcW w:w="0" w:type="auto"/>
            <w:tcBorders>
              <w:top w:val="nil"/>
              <w:left w:val="nil"/>
              <w:bottom w:val="nil"/>
              <w:right w:val="nil"/>
            </w:tcBorders>
            <w:shd w:val="clear" w:color="auto" w:fill="auto"/>
            <w:noWrap/>
            <w:vAlign w:val="bottom"/>
            <w:hideMark/>
          </w:tcPr>
          <w:p w14:paraId="6308A75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96.1</w:t>
            </w:r>
          </w:p>
        </w:tc>
      </w:tr>
      <w:tr w:rsidR="001500F3" w:rsidRPr="001500F3" w14:paraId="56300C23" w14:textId="77777777" w:rsidTr="001500F3">
        <w:trPr>
          <w:trHeight w:val="300"/>
        </w:trPr>
        <w:tc>
          <w:tcPr>
            <w:tcW w:w="0" w:type="auto"/>
            <w:tcBorders>
              <w:top w:val="nil"/>
              <w:left w:val="nil"/>
              <w:bottom w:val="nil"/>
              <w:right w:val="nil"/>
            </w:tcBorders>
            <w:shd w:val="clear" w:color="auto" w:fill="auto"/>
            <w:noWrap/>
            <w:vAlign w:val="bottom"/>
            <w:hideMark/>
          </w:tcPr>
          <w:p w14:paraId="0F101ABF"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4</w:t>
            </w:r>
          </w:p>
        </w:tc>
        <w:tc>
          <w:tcPr>
            <w:tcW w:w="0" w:type="auto"/>
            <w:tcBorders>
              <w:top w:val="nil"/>
              <w:left w:val="nil"/>
              <w:bottom w:val="nil"/>
              <w:right w:val="nil"/>
            </w:tcBorders>
            <w:shd w:val="clear" w:color="auto" w:fill="auto"/>
            <w:noWrap/>
            <w:vAlign w:val="bottom"/>
            <w:hideMark/>
          </w:tcPr>
          <w:p w14:paraId="77DEC04A"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104</w:t>
            </w:r>
          </w:p>
        </w:tc>
        <w:tc>
          <w:tcPr>
            <w:tcW w:w="0" w:type="auto"/>
            <w:tcBorders>
              <w:top w:val="nil"/>
              <w:left w:val="nil"/>
              <w:bottom w:val="nil"/>
              <w:right w:val="nil"/>
            </w:tcBorders>
            <w:shd w:val="clear" w:color="auto" w:fill="auto"/>
            <w:noWrap/>
            <w:vAlign w:val="bottom"/>
            <w:hideMark/>
          </w:tcPr>
          <w:p w14:paraId="3783CBD9"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101.7</w:t>
            </w:r>
          </w:p>
        </w:tc>
      </w:tr>
      <w:tr w:rsidR="001500F3" w:rsidRPr="001500F3" w14:paraId="7607DFC6" w14:textId="77777777" w:rsidTr="001500F3">
        <w:trPr>
          <w:trHeight w:val="300"/>
        </w:trPr>
        <w:tc>
          <w:tcPr>
            <w:tcW w:w="0" w:type="auto"/>
            <w:tcBorders>
              <w:top w:val="nil"/>
              <w:left w:val="nil"/>
              <w:bottom w:val="nil"/>
              <w:right w:val="nil"/>
            </w:tcBorders>
            <w:shd w:val="clear" w:color="auto" w:fill="auto"/>
            <w:noWrap/>
            <w:vAlign w:val="bottom"/>
            <w:hideMark/>
          </w:tcPr>
          <w:p w14:paraId="0C4E7F6C"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5</w:t>
            </w:r>
          </w:p>
        </w:tc>
        <w:tc>
          <w:tcPr>
            <w:tcW w:w="0" w:type="auto"/>
            <w:tcBorders>
              <w:top w:val="nil"/>
              <w:left w:val="nil"/>
              <w:bottom w:val="nil"/>
              <w:right w:val="nil"/>
            </w:tcBorders>
            <w:shd w:val="clear" w:color="auto" w:fill="auto"/>
            <w:noWrap/>
            <w:vAlign w:val="bottom"/>
            <w:hideMark/>
          </w:tcPr>
          <w:p w14:paraId="3A7B0A8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95</w:t>
            </w:r>
          </w:p>
        </w:tc>
        <w:tc>
          <w:tcPr>
            <w:tcW w:w="0" w:type="auto"/>
            <w:tcBorders>
              <w:top w:val="nil"/>
              <w:left w:val="nil"/>
              <w:bottom w:val="nil"/>
              <w:right w:val="nil"/>
            </w:tcBorders>
            <w:shd w:val="clear" w:color="auto" w:fill="auto"/>
            <w:noWrap/>
            <w:vAlign w:val="bottom"/>
            <w:hideMark/>
          </w:tcPr>
          <w:p w14:paraId="1D4EE084"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101.6</w:t>
            </w:r>
          </w:p>
        </w:tc>
      </w:tr>
      <w:tr w:rsidR="001500F3" w:rsidRPr="001500F3" w14:paraId="1B3880E8" w14:textId="77777777" w:rsidTr="001500F3">
        <w:trPr>
          <w:trHeight w:val="300"/>
        </w:trPr>
        <w:tc>
          <w:tcPr>
            <w:tcW w:w="0" w:type="auto"/>
            <w:tcBorders>
              <w:top w:val="nil"/>
              <w:left w:val="nil"/>
              <w:bottom w:val="nil"/>
              <w:right w:val="nil"/>
            </w:tcBorders>
            <w:shd w:val="clear" w:color="auto" w:fill="auto"/>
            <w:noWrap/>
            <w:vAlign w:val="bottom"/>
            <w:hideMark/>
          </w:tcPr>
          <w:p w14:paraId="2720952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6</w:t>
            </w:r>
          </w:p>
        </w:tc>
        <w:tc>
          <w:tcPr>
            <w:tcW w:w="0" w:type="auto"/>
            <w:tcBorders>
              <w:top w:val="nil"/>
              <w:left w:val="nil"/>
              <w:bottom w:val="nil"/>
              <w:right w:val="nil"/>
            </w:tcBorders>
            <w:shd w:val="clear" w:color="auto" w:fill="auto"/>
            <w:noWrap/>
            <w:vAlign w:val="bottom"/>
            <w:hideMark/>
          </w:tcPr>
          <w:p w14:paraId="280609E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109</w:t>
            </w:r>
          </w:p>
        </w:tc>
        <w:tc>
          <w:tcPr>
            <w:tcW w:w="0" w:type="auto"/>
            <w:tcBorders>
              <w:top w:val="nil"/>
              <w:left w:val="nil"/>
              <w:bottom w:val="nil"/>
              <w:right w:val="nil"/>
            </w:tcBorders>
            <w:shd w:val="clear" w:color="auto" w:fill="auto"/>
            <w:noWrap/>
            <w:vAlign w:val="bottom"/>
            <w:hideMark/>
          </w:tcPr>
          <w:p w14:paraId="0AB6A083"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106.1</w:t>
            </w:r>
          </w:p>
        </w:tc>
      </w:tr>
      <w:tr w:rsidR="001500F3" w:rsidRPr="001500F3" w14:paraId="6A6AA4E0" w14:textId="77777777" w:rsidTr="001500F3">
        <w:trPr>
          <w:trHeight w:val="300"/>
        </w:trPr>
        <w:tc>
          <w:tcPr>
            <w:tcW w:w="0" w:type="auto"/>
            <w:tcBorders>
              <w:top w:val="nil"/>
              <w:left w:val="nil"/>
              <w:bottom w:val="nil"/>
              <w:right w:val="nil"/>
            </w:tcBorders>
            <w:shd w:val="clear" w:color="auto" w:fill="auto"/>
            <w:noWrap/>
            <w:vAlign w:val="bottom"/>
            <w:hideMark/>
          </w:tcPr>
          <w:p w14:paraId="61B60A6A"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w:t>
            </w:r>
          </w:p>
        </w:tc>
        <w:tc>
          <w:tcPr>
            <w:tcW w:w="0" w:type="auto"/>
            <w:tcBorders>
              <w:top w:val="nil"/>
              <w:left w:val="nil"/>
              <w:bottom w:val="nil"/>
              <w:right w:val="nil"/>
            </w:tcBorders>
            <w:shd w:val="clear" w:color="auto" w:fill="auto"/>
            <w:noWrap/>
            <w:vAlign w:val="bottom"/>
            <w:hideMark/>
          </w:tcPr>
          <w:p w14:paraId="1FBA5EF3"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116</w:t>
            </w:r>
          </w:p>
        </w:tc>
        <w:tc>
          <w:tcPr>
            <w:tcW w:w="0" w:type="auto"/>
            <w:tcBorders>
              <w:top w:val="nil"/>
              <w:left w:val="nil"/>
              <w:bottom w:val="nil"/>
              <w:right w:val="nil"/>
            </w:tcBorders>
            <w:shd w:val="clear" w:color="auto" w:fill="auto"/>
            <w:noWrap/>
            <w:vAlign w:val="bottom"/>
            <w:hideMark/>
          </w:tcPr>
          <w:p w14:paraId="4BD94CF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108.0</w:t>
            </w:r>
          </w:p>
        </w:tc>
      </w:tr>
      <w:tr w:rsidR="001500F3" w:rsidRPr="001500F3" w14:paraId="7A91902B" w14:textId="77777777" w:rsidTr="001500F3">
        <w:trPr>
          <w:trHeight w:val="300"/>
        </w:trPr>
        <w:tc>
          <w:tcPr>
            <w:tcW w:w="0" w:type="auto"/>
            <w:tcBorders>
              <w:top w:val="nil"/>
              <w:left w:val="nil"/>
              <w:bottom w:val="nil"/>
              <w:right w:val="nil"/>
            </w:tcBorders>
            <w:shd w:val="clear" w:color="auto" w:fill="auto"/>
            <w:noWrap/>
            <w:vAlign w:val="bottom"/>
            <w:hideMark/>
          </w:tcPr>
          <w:p w14:paraId="18441CF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8</w:t>
            </w:r>
          </w:p>
        </w:tc>
        <w:tc>
          <w:tcPr>
            <w:tcW w:w="0" w:type="auto"/>
            <w:tcBorders>
              <w:top w:val="nil"/>
              <w:left w:val="nil"/>
              <w:bottom w:val="nil"/>
              <w:right w:val="nil"/>
            </w:tcBorders>
            <w:shd w:val="clear" w:color="auto" w:fill="auto"/>
            <w:noWrap/>
            <w:vAlign w:val="bottom"/>
            <w:hideMark/>
          </w:tcPr>
          <w:p w14:paraId="0817DF50"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105</w:t>
            </w:r>
          </w:p>
        </w:tc>
        <w:tc>
          <w:tcPr>
            <w:tcW w:w="0" w:type="auto"/>
            <w:tcBorders>
              <w:top w:val="nil"/>
              <w:left w:val="nil"/>
              <w:bottom w:val="nil"/>
              <w:right w:val="nil"/>
            </w:tcBorders>
            <w:shd w:val="clear" w:color="auto" w:fill="auto"/>
            <w:noWrap/>
            <w:vAlign w:val="bottom"/>
            <w:hideMark/>
          </w:tcPr>
          <w:p w14:paraId="16DEC0A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111.7</w:t>
            </w:r>
          </w:p>
        </w:tc>
      </w:tr>
      <w:tr w:rsidR="001500F3" w:rsidRPr="001500F3" w14:paraId="2515408B" w14:textId="77777777" w:rsidTr="001500F3">
        <w:trPr>
          <w:trHeight w:val="300"/>
        </w:trPr>
        <w:tc>
          <w:tcPr>
            <w:tcW w:w="0" w:type="auto"/>
            <w:tcBorders>
              <w:top w:val="nil"/>
              <w:left w:val="nil"/>
              <w:bottom w:val="nil"/>
              <w:right w:val="nil"/>
            </w:tcBorders>
            <w:shd w:val="clear" w:color="auto" w:fill="auto"/>
            <w:noWrap/>
            <w:vAlign w:val="bottom"/>
            <w:hideMark/>
          </w:tcPr>
          <w:p w14:paraId="3D54C91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w:t>
            </w:r>
          </w:p>
        </w:tc>
        <w:tc>
          <w:tcPr>
            <w:tcW w:w="0" w:type="auto"/>
            <w:tcBorders>
              <w:top w:val="nil"/>
              <w:left w:val="nil"/>
              <w:bottom w:val="nil"/>
              <w:right w:val="nil"/>
            </w:tcBorders>
            <w:shd w:val="clear" w:color="auto" w:fill="auto"/>
            <w:noWrap/>
            <w:vAlign w:val="bottom"/>
            <w:hideMark/>
          </w:tcPr>
          <w:p w14:paraId="78B360C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122</w:t>
            </w:r>
          </w:p>
        </w:tc>
        <w:tc>
          <w:tcPr>
            <w:tcW w:w="0" w:type="auto"/>
            <w:tcBorders>
              <w:top w:val="nil"/>
              <w:left w:val="nil"/>
              <w:bottom w:val="nil"/>
              <w:right w:val="nil"/>
            </w:tcBorders>
            <w:shd w:val="clear" w:color="auto" w:fill="auto"/>
            <w:noWrap/>
            <w:vAlign w:val="bottom"/>
            <w:hideMark/>
          </w:tcPr>
          <w:p w14:paraId="1494A1F0"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117.2</w:t>
            </w:r>
          </w:p>
        </w:tc>
      </w:tr>
      <w:tr w:rsidR="001500F3" w:rsidRPr="001500F3" w14:paraId="3C6664FE" w14:textId="77777777" w:rsidTr="001500F3">
        <w:trPr>
          <w:trHeight w:val="300"/>
        </w:trPr>
        <w:tc>
          <w:tcPr>
            <w:tcW w:w="0" w:type="auto"/>
            <w:tcBorders>
              <w:top w:val="nil"/>
              <w:left w:val="nil"/>
              <w:bottom w:val="single" w:sz="4" w:space="0" w:color="auto"/>
              <w:right w:val="nil"/>
            </w:tcBorders>
            <w:shd w:val="clear" w:color="auto" w:fill="auto"/>
            <w:noWrap/>
            <w:vAlign w:val="bottom"/>
            <w:hideMark/>
          </w:tcPr>
          <w:p w14:paraId="3B59CB7E"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w:t>
            </w:r>
          </w:p>
        </w:tc>
        <w:tc>
          <w:tcPr>
            <w:tcW w:w="0" w:type="auto"/>
            <w:tcBorders>
              <w:top w:val="nil"/>
              <w:left w:val="nil"/>
              <w:bottom w:val="single" w:sz="4" w:space="0" w:color="auto"/>
              <w:right w:val="nil"/>
            </w:tcBorders>
            <w:shd w:val="clear" w:color="auto" w:fill="auto"/>
            <w:noWrap/>
            <w:vAlign w:val="bottom"/>
            <w:hideMark/>
          </w:tcPr>
          <w:p w14:paraId="7EE0870C"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118</w:t>
            </w:r>
          </w:p>
        </w:tc>
        <w:tc>
          <w:tcPr>
            <w:tcW w:w="0" w:type="auto"/>
            <w:tcBorders>
              <w:top w:val="nil"/>
              <w:left w:val="nil"/>
              <w:bottom w:val="single" w:sz="4" w:space="0" w:color="auto"/>
              <w:right w:val="nil"/>
            </w:tcBorders>
            <w:shd w:val="clear" w:color="auto" w:fill="auto"/>
            <w:noWrap/>
            <w:vAlign w:val="bottom"/>
            <w:hideMark/>
          </w:tcPr>
          <w:p w14:paraId="06A9D53E"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121.4</w:t>
            </w:r>
          </w:p>
        </w:tc>
      </w:tr>
    </w:tbl>
    <w:p w14:paraId="5A296B9D" w14:textId="77777777" w:rsidR="0045390E" w:rsidRPr="0045390E" w:rsidRDefault="0045390E" w:rsidP="004A1542"/>
    <w:p w14:paraId="5D5C230A" w14:textId="0717760A" w:rsidR="0045390E" w:rsidRDefault="00E70A73" w:rsidP="004A1542">
      <w:pPr>
        <w:rPr>
          <w:b/>
          <w:bCs/>
        </w:rPr>
      </w:pPr>
      <w:r>
        <w:rPr>
          <w:b/>
          <w:bCs/>
        </w:rPr>
        <w:t>NIBRS Estimates</w:t>
      </w:r>
    </w:p>
    <w:p w14:paraId="778BF9E5" w14:textId="06EAFFC2" w:rsidR="00E70A73" w:rsidRDefault="00266163" w:rsidP="004A1542">
      <w:r>
        <w:t xml:space="preserve">With the model to generate each individual up-weight for the NIBRS reported incidents, one can then examine a particular agency. (It is difficult to estimate specific </w:t>
      </w:r>
      <w:r>
        <w:rPr>
          <w:i/>
          <w:iCs/>
        </w:rPr>
        <w:t>geographic areas</w:t>
      </w:r>
      <w:r>
        <w:t xml:space="preserve"> that are larger than a single agency, as you would need to have an estimate of the total reporting in the area. There is no simple way to say estimate at the county level with the NIBRS data Kaplan, 2023.)</w:t>
      </w:r>
    </w:p>
    <w:p w14:paraId="480C41FD" w14:textId="1268190B" w:rsidR="003822E7" w:rsidRDefault="003822E7" w:rsidP="004A1542">
      <w:r>
        <w:t>First, Figure 3 shows some of the agencies with the largest reported number of aggravated domestic assaults in 2022, and their up-adjusted total domestic violence incidents given these models. So for example, Las Vegas had a total of just under 1,500 aggravated assault domestic violence incidents, but when taking into account partial reporting, has an estimated over 2,000 events.</w:t>
      </w:r>
      <w:r w:rsidR="00436B37">
        <w:t xml:space="preserve"> The average probability of reporting in the sample is around 70%, so the reported counts will be approximately increased by around 40%.</w:t>
      </w:r>
    </w:p>
    <w:p w14:paraId="36304AA9" w14:textId="77777777" w:rsidR="003822E7" w:rsidRDefault="003822E7" w:rsidP="003822E7">
      <w:pPr>
        <w:keepNext/>
      </w:pPr>
      <w:r>
        <w:rPr>
          <w:noProof/>
        </w:rPr>
        <w:lastRenderedPageBreak/>
        <w:drawing>
          <wp:inline distT="0" distB="0" distL="0" distR="0" wp14:anchorId="550E199D" wp14:editId="71C871CD">
            <wp:extent cx="5943600" cy="3562350"/>
            <wp:effectExtent l="0" t="0" r="0" b="0"/>
            <wp:docPr id="234935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4DBF12C" w14:textId="77DB1E81" w:rsidR="003822E7" w:rsidRPr="003822E7" w:rsidRDefault="003822E7" w:rsidP="003822E7">
      <w:pPr>
        <w:pStyle w:val="Caption"/>
        <w:rPr>
          <w:color w:val="auto"/>
          <w:sz w:val="24"/>
          <w:szCs w:val="24"/>
        </w:rPr>
      </w:pPr>
      <w:r w:rsidRPr="003822E7">
        <w:rPr>
          <w:color w:val="auto"/>
          <w:sz w:val="24"/>
          <w:szCs w:val="24"/>
        </w:rPr>
        <w:t xml:space="preserve">Figure </w:t>
      </w:r>
      <w:r w:rsidRPr="003822E7">
        <w:rPr>
          <w:color w:val="auto"/>
          <w:sz w:val="24"/>
          <w:szCs w:val="24"/>
        </w:rPr>
        <w:fldChar w:fldCharType="begin"/>
      </w:r>
      <w:r w:rsidRPr="003822E7">
        <w:rPr>
          <w:color w:val="auto"/>
          <w:sz w:val="24"/>
          <w:szCs w:val="24"/>
        </w:rPr>
        <w:instrText xml:space="preserve"> SEQ Figure \* ARABIC </w:instrText>
      </w:r>
      <w:r w:rsidRPr="003822E7">
        <w:rPr>
          <w:color w:val="auto"/>
          <w:sz w:val="24"/>
          <w:szCs w:val="24"/>
        </w:rPr>
        <w:fldChar w:fldCharType="separate"/>
      </w:r>
      <w:r w:rsidR="00CD7BD6">
        <w:rPr>
          <w:noProof/>
          <w:color w:val="auto"/>
          <w:sz w:val="24"/>
          <w:szCs w:val="24"/>
        </w:rPr>
        <w:t>3</w:t>
      </w:r>
      <w:r w:rsidRPr="003822E7">
        <w:rPr>
          <w:color w:val="auto"/>
          <w:sz w:val="24"/>
          <w:szCs w:val="24"/>
        </w:rPr>
        <w:fldChar w:fldCharType="end"/>
      </w:r>
      <w:r w:rsidRPr="003822E7">
        <w:rPr>
          <w:color w:val="auto"/>
          <w:sz w:val="24"/>
          <w:szCs w:val="24"/>
        </w:rPr>
        <w:t>: Top 20 Cities and Upadjust</w:t>
      </w:r>
      <w:r>
        <w:rPr>
          <w:color w:val="auto"/>
          <w:sz w:val="24"/>
          <w:szCs w:val="24"/>
        </w:rPr>
        <w:t>ed</w:t>
      </w:r>
      <w:r w:rsidRPr="003822E7">
        <w:rPr>
          <w:color w:val="auto"/>
          <w:sz w:val="24"/>
          <w:szCs w:val="24"/>
        </w:rPr>
        <w:t xml:space="preserve"> Domestic Violence Counts</w:t>
      </w:r>
    </w:p>
    <w:p w14:paraId="58CF9FA1" w14:textId="77777777" w:rsidR="00E1472B" w:rsidRDefault="00395BA2" w:rsidP="00395BA2">
      <w:pPr>
        <w:keepNext/>
      </w:pPr>
      <w:r>
        <w:t xml:space="preserve">Figure’s 4 and 5 show the yearly estimates for the Denver police department. Figure 4 shows an increase in the NIBRS data starting in 2015, and with more recent increases. This shows that just using the NIBRS reported data, the </w:t>
      </w:r>
      <w:r>
        <w:rPr>
          <w:i/>
          <w:iCs/>
        </w:rPr>
        <w:t>trends</w:t>
      </w:r>
      <w:r>
        <w:t xml:space="preserve"> are similar when taking into account non-reporting, but are overall too small of estimates. </w:t>
      </w:r>
    </w:p>
    <w:p w14:paraId="18531978" w14:textId="2A8457F7" w:rsidR="00E1472B" w:rsidRDefault="00E1472B" w:rsidP="00395BA2">
      <w:pPr>
        <w:keepNext/>
      </w:pPr>
      <w:r>
        <w:t>Because the regression model is a statistical estimator, one can generate confidence intervals around the aggregated up-adjusted weight. We use a simulation approach to generate different probabilities for the individual reported NIBRS events</w:t>
      </w:r>
      <w:r w:rsidR="006524AA">
        <w:t xml:space="preserve"> (given the standard errors of the predicted probabilities)</w:t>
      </w:r>
      <w:r>
        <w:t xml:space="preserve"> then calculate the up-adjusted counts (and population rates) for the simulations, and then take the 1</w:t>
      </w:r>
      <w:r w:rsidRPr="00E1472B">
        <w:rPr>
          <w:vertAlign w:val="superscript"/>
        </w:rPr>
        <w:t>st</w:t>
      </w:r>
      <w:r>
        <w:t xml:space="preserve"> and 99</w:t>
      </w:r>
      <w:r w:rsidRPr="00E1472B">
        <w:rPr>
          <w:vertAlign w:val="superscript"/>
        </w:rPr>
        <w:t>th</w:t>
      </w:r>
      <w:r>
        <w:t xml:space="preserve"> quantile (so these show 98% confidence intervals). </w:t>
      </w:r>
      <w:r>
        <w:lastRenderedPageBreak/>
        <w:t>One can see that the errors in the regression modelling are small compared to the yearly variability</w:t>
      </w:r>
      <w:r w:rsidR="00AA5E76">
        <w:t xml:space="preserve"> in Denver.</w:t>
      </w:r>
    </w:p>
    <w:p w14:paraId="2A8344D7" w14:textId="7CBC2475" w:rsidR="00395BA2" w:rsidRDefault="00395BA2" w:rsidP="00395BA2">
      <w:pPr>
        <w:keepNext/>
      </w:pPr>
      <w:r>
        <w:rPr>
          <w:noProof/>
        </w:rPr>
        <w:drawing>
          <wp:inline distT="0" distB="0" distL="0" distR="0" wp14:anchorId="4AFADCDA" wp14:editId="12402267">
            <wp:extent cx="5943600" cy="2971800"/>
            <wp:effectExtent l="0" t="0" r="0" b="0"/>
            <wp:docPr id="460612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5C08FA" w14:textId="47AFEAEA" w:rsidR="00395BA2" w:rsidRPr="00395BA2" w:rsidRDefault="00395BA2" w:rsidP="00395BA2">
      <w:pPr>
        <w:pStyle w:val="Caption"/>
        <w:rPr>
          <w:color w:val="auto"/>
          <w:sz w:val="24"/>
          <w:szCs w:val="24"/>
        </w:rPr>
      </w:pPr>
      <w:r w:rsidRPr="00395BA2">
        <w:rPr>
          <w:color w:val="auto"/>
          <w:sz w:val="24"/>
          <w:szCs w:val="24"/>
        </w:rPr>
        <w:t xml:space="preserve">Figure </w:t>
      </w:r>
      <w:r w:rsidRPr="00395BA2">
        <w:rPr>
          <w:color w:val="auto"/>
          <w:sz w:val="24"/>
          <w:szCs w:val="24"/>
        </w:rPr>
        <w:fldChar w:fldCharType="begin"/>
      </w:r>
      <w:r w:rsidRPr="00395BA2">
        <w:rPr>
          <w:color w:val="auto"/>
          <w:sz w:val="24"/>
          <w:szCs w:val="24"/>
        </w:rPr>
        <w:instrText xml:space="preserve"> SEQ Figure \* ARABIC </w:instrText>
      </w:r>
      <w:r w:rsidRPr="00395BA2">
        <w:rPr>
          <w:color w:val="auto"/>
          <w:sz w:val="24"/>
          <w:szCs w:val="24"/>
        </w:rPr>
        <w:fldChar w:fldCharType="separate"/>
      </w:r>
      <w:r w:rsidR="00CD7BD6">
        <w:rPr>
          <w:noProof/>
          <w:color w:val="auto"/>
          <w:sz w:val="24"/>
          <w:szCs w:val="24"/>
        </w:rPr>
        <w:t>4</w:t>
      </w:r>
      <w:r w:rsidRPr="00395BA2">
        <w:rPr>
          <w:color w:val="auto"/>
          <w:sz w:val="24"/>
          <w:szCs w:val="24"/>
        </w:rPr>
        <w:fldChar w:fldCharType="end"/>
      </w:r>
      <w:r w:rsidRPr="00395BA2">
        <w:rPr>
          <w:color w:val="auto"/>
          <w:sz w:val="24"/>
          <w:szCs w:val="24"/>
        </w:rPr>
        <w:t>: Denver Counts by Year</w:t>
      </w:r>
    </w:p>
    <w:p w14:paraId="0F580485" w14:textId="77777777" w:rsidR="00395BA2" w:rsidRDefault="00395BA2" w:rsidP="00395BA2">
      <w:pPr>
        <w:keepNext/>
      </w:pPr>
      <w:r>
        <w:rPr>
          <w:noProof/>
        </w:rPr>
        <w:drawing>
          <wp:inline distT="0" distB="0" distL="0" distR="0" wp14:anchorId="7E558FBF" wp14:editId="3C97923B">
            <wp:extent cx="5943600" cy="3714750"/>
            <wp:effectExtent l="0" t="0" r="0" b="0"/>
            <wp:docPr id="677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E8010F9" w14:textId="559EE7E0" w:rsidR="00395BA2" w:rsidRPr="00395BA2" w:rsidRDefault="00395BA2" w:rsidP="00395BA2">
      <w:pPr>
        <w:pStyle w:val="Caption"/>
        <w:rPr>
          <w:color w:val="auto"/>
          <w:sz w:val="24"/>
          <w:szCs w:val="24"/>
        </w:rPr>
      </w:pPr>
      <w:r w:rsidRPr="00395BA2">
        <w:rPr>
          <w:color w:val="auto"/>
          <w:sz w:val="24"/>
          <w:szCs w:val="24"/>
        </w:rPr>
        <w:t xml:space="preserve">Figure </w:t>
      </w:r>
      <w:r w:rsidRPr="00395BA2">
        <w:rPr>
          <w:color w:val="auto"/>
          <w:sz w:val="24"/>
          <w:szCs w:val="24"/>
        </w:rPr>
        <w:fldChar w:fldCharType="begin"/>
      </w:r>
      <w:r w:rsidRPr="00395BA2">
        <w:rPr>
          <w:color w:val="auto"/>
          <w:sz w:val="24"/>
          <w:szCs w:val="24"/>
        </w:rPr>
        <w:instrText xml:space="preserve"> SEQ Figure \* ARABIC </w:instrText>
      </w:r>
      <w:r w:rsidRPr="00395BA2">
        <w:rPr>
          <w:color w:val="auto"/>
          <w:sz w:val="24"/>
          <w:szCs w:val="24"/>
        </w:rPr>
        <w:fldChar w:fldCharType="separate"/>
      </w:r>
      <w:r w:rsidR="00CD7BD6">
        <w:rPr>
          <w:noProof/>
          <w:color w:val="auto"/>
          <w:sz w:val="24"/>
          <w:szCs w:val="24"/>
        </w:rPr>
        <w:t>5</w:t>
      </w:r>
      <w:r w:rsidRPr="00395BA2">
        <w:rPr>
          <w:color w:val="auto"/>
          <w:sz w:val="24"/>
          <w:szCs w:val="24"/>
        </w:rPr>
        <w:fldChar w:fldCharType="end"/>
      </w:r>
      <w:r w:rsidRPr="00395BA2">
        <w:rPr>
          <w:color w:val="auto"/>
          <w:sz w:val="24"/>
          <w:szCs w:val="24"/>
        </w:rPr>
        <w:t>: Error estimates in the overall rate per 100,000. Displayed are 99% confidence intervals.</w:t>
      </w:r>
    </w:p>
    <w:p w14:paraId="2A64A3B1" w14:textId="135FE4DB" w:rsidR="008D6A79" w:rsidRPr="00CD7BD6" w:rsidRDefault="008D6A79" w:rsidP="004A1542">
      <w:r>
        <w:lastRenderedPageBreak/>
        <w:t>Because NIBRS is voluntary, one only has estimates for agencies since they have been reporting. Honolulu shows recent increases in their data, but has only reported since 2018.</w:t>
      </w:r>
      <w:r w:rsidR="00CD7BD6">
        <w:t xml:space="preserve"> Even though it has shown a </w:t>
      </w:r>
      <w:r w:rsidR="00CD7BD6">
        <w:rPr>
          <w:i/>
          <w:iCs/>
        </w:rPr>
        <w:t>slight</w:t>
      </w:r>
      <w:r w:rsidR="00CD7BD6">
        <w:t xml:space="preserve"> decrease in 2022, this is within the margin of error when considering the changes in the two years for the rates over time.</w:t>
      </w:r>
    </w:p>
    <w:p w14:paraId="56B40D46" w14:textId="77777777" w:rsidR="00CD7BD6" w:rsidRDefault="008D6A79" w:rsidP="00CD7BD6">
      <w:pPr>
        <w:keepNext/>
      </w:pPr>
      <w:r>
        <w:rPr>
          <w:noProof/>
        </w:rPr>
        <w:drawing>
          <wp:inline distT="0" distB="0" distL="0" distR="0" wp14:anchorId="6E3EDB16" wp14:editId="4B39FC4D">
            <wp:extent cx="5943600" cy="2971800"/>
            <wp:effectExtent l="0" t="0" r="0" b="0"/>
            <wp:docPr id="2027392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E655A1" w14:textId="1C4CB7BF" w:rsidR="008D6A79" w:rsidRPr="00CD7BD6" w:rsidRDefault="00CD7BD6" w:rsidP="00CD7BD6">
      <w:pPr>
        <w:pStyle w:val="Caption"/>
        <w:rPr>
          <w:color w:val="auto"/>
          <w:sz w:val="24"/>
          <w:szCs w:val="24"/>
        </w:rPr>
      </w:pPr>
      <w:r w:rsidRPr="00CD7BD6">
        <w:rPr>
          <w:color w:val="auto"/>
          <w:sz w:val="24"/>
          <w:szCs w:val="24"/>
        </w:rPr>
        <w:t xml:space="preserve">Figure </w:t>
      </w:r>
      <w:r w:rsidRPr="00CD7BD6">
        <w:rPr>
          <w:color w:val="auto"/>
          <w:sz w:val="24"/>
          <w:szCs w:val="24"/>
        </w:rPr>
        <w:fldChar w:fldCharType="begin"/>
      </w:r>
      <w:r w:rsidRPr="00CD7BD6">
        <w:rPr>
          <w:color w:val="auto"/>
          <w:sz w:val="24"/>
          <w:szCs w:val="24"/>
        </w:rPr>
        <w:instrText xml:space="preserve"> SEQ Figure \* ARABIC </w:instrText>
      </w:r>
      <w:r w:rsidRPr="00CD7BD6">
        <w:rPr>
          <w:color w:val="auto"/>
          <w:sz w:val="24"/>
          <w:szCs w:val="24"/>
        </w:rPr>
        <w:fldChar w:fldCharType="separate"/>
      </w:r>
      <w:r>
        <w:rPr>
          <w:noProof/>
          <w:color w:val="auto"/>
          <w:sz w:val="24"/>
          <w:szCs w:val="24"/>
        </w:rPr>
        <w:t>6</w:t>
      </w:r>
      <w:r w:rsidRPr="00CD7BD6">
        <w:rPr>
          <w:color w:val="auto"/>
          <w:sz w:val="24"/>
          <w:szCs w:val="24"/>
        </w:rPr>
        <w:fldChar w:fldCharType="end"/>
      </w:r>
      <w:r w:rsidRPr="00CD7BD6">
        <w:rPr>
          <w:color w:val="auto"/>
          <w:sz w:val="24"/>
          <w:szCs w:val="24"/>
        </w:rPr>
        <w:t>: Honolulu Counts by Year</w:t>
      </w:r>
    </w:p>
    <w:p w14:paraId="5AE982B0" w14:textId="77777777" w:rsidR="00CD7BD6" w:rsidRDefault="00CD7BD6" w:rsidP="00CD7BD6">
      <w:pPr>
        <w:keepNext/>
      </w:pPr>
      <w:r>
        <w:rPr>
          <w:noProof/>
        </w:rPr>
        <w:lastRenderedPageBreak/>
        <w:drawing>
          <wp:inline distT="0" distB="0" distL="0" distR="0" wp14:anchorId="5A163AC6" wp14:editId="22078D66">
            <wp:extent cx="5943600" cy="3714750"/>
            <wp:effectExtent l="0" t="0" r="0" b="0"/>
            <wp:docPr id="1780094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522D1F8" w14:textId="65006C32" w:rsidR="00CD7BD6" w:rsidRPr="00CD7BD6" w:rsidRDefault="00CD7BD6" w:rsidP="00CD7BD6">
      <w:pPr>
        <w:pStyle w:val="Caption"/>
        <w:rPr>
          <w:color w:val="auto"/>
          <w:sz w:val="24"/>
          <w:szCs w:val="24"/>
        </w:rPr>
      </w:pPr>
      <w:r w:rsidRPr="00CD7BD6">
        <w:rPr>
          <w:color w:val="auto"/>
          <w:sz w:val="24"/>
          <w:szCs w:val="24"/>
        </w:rPr>
        <w:t xml:space="preserve">Figure </w:t>
      </w:r>
      <w:r w:rsidRPr="00CD7BD6">
        <w:rPr>
          <w:color w:val="auto"/>
          <w:sz w:val="24"/>
          <w:szCs w:val="24"/>
        </w:rPr>
        <w:fldChar w:fldCharType="begin"/>
      </w:r>
      <w:r w:rsidRPr="00CD7BD6">
        <w:rPr>
          <w:color w:val="auto"/>
          <w:sz w:val="24"/>
          <w:szCs w:val="24"/>
        </w:rPr>
        <w:instrText xml:space="preserve"> SEQ Figure \* ARABIC </w:instrText>
      </w:r>
      <w:r w:rsidRPr="00CD7BD6">
        <w:rPr>
          <w:color w:val="auto"/>
          <w:sz w:val="24"/>
          <w:szCs w:val="24"/>
        </w:rPr>
        <w:fldChar w:fldCharType="separate"/>
      </w:r>
      <w:r w:rsidRPr="00CD7BD6">
        <w:rPr>
          <w:noProof/>
          <w:color w:val="auto"/>
          <w:sz w:val="24"/>
          <w:szCs w:val="24"/>
        </w:rPr>
        <w:t>7</w:t>
      </w:r>
      <w:r w:rsidRPr="00CD7BD6">
        <w:rPr>
          <w:color w:val="auto"/>
          <w:sz w:val="24"/>
          <w:szCs w:val="24"/>
        </w:rPr>
        <w:fldChar w:fldCharType="end"/>
      </w:r>
      <w:r w:rsidRPr="00CD7BD6">
        <w:rPr>
          <w:color w:val="auto"/>
          <w:sz w:val="24"/>
          <w:szCs w:val="24"/>
        </w:rPr>
        <w:t>: Error Estimates for Honolulu DV Rates</w:t>
      </w:r>
    </w:p>
    <w:p w14:paraId="435EA675" w14:textId="1A222C07" w:rsidR="00F41C0A" w:rsidRDefault="00F41C0A" w:rsidP="004A1542">
      <w:r>
        <w:t xml:space="preserve">We provide a handful of additional cities graphs in the appendix. </w:t>
      </w:r>
      <w:r w:rsidR="00F0009C">
        <w:t>This set of cities we have highlighted is ad-hoc, but again one can replicate the work and generate graphs for any particular city</w:t>
      </w:r>
      <w:r w:rsidR="002307DE">
        <w:t xml:space="preserve"> of interest.</w:t>
      </w:r>
    </w:p>
    <w:p w14:paraId="48D1A22B" w14:textId="6ED3833D" w:rsidR="005B4607" w:rsidRPr="002307DE" w:rsidRDefault="005B4607" w:rsidP="004A1542">
      <w:pPr>
        <w:rPr>
          <w:b/>
          <w:bCs/>
        </w:rPr>
      </w:pPr>
      <w:r w:rsidRPr="002307DE">
        <w:rPr>
          <w:b/>
          <w:bCs/>
        </w:rPr>
        <w:t>Conclusion</w:t>
      </w:r>
    </w:p>
    <w:p w14:paraId="6B54C043" w14:textId="06FFDE4A" w:rsidR="005B4607" w:rsidRDefault="002307DE" w:rsidP="004A1542">
      <w:r>
        <w:t xml:space="preserve">Our contributions here are to provide statistical estimates of the dark figure of domestic violence. We show that using police reported aggravated assaults for domestic violence likely undercount counts of assaults by around 40%. </w:t>
      </w:r>
      <w:r w:rsidR="00883397">
        <w:t xml:space="preserve">We also show in a handful of cities recent increases in domestic violence crimes. These changes in trends would be evident in just examining counts in the NIBRS data itself, but these estimates </w:t>
      </w:r>
      <w:r w:rsidR="00EA6AF2">
        <w:t>provide more realistic total counts of domestic violence over time</w:t>
      </w:r>
      <w:r w:rsidR="006524AA">
        <w:t xml:space="preserve"> taking into account under-reporting.</w:t>
      </w:r>
    </w:p>
    <w:p w14:paraId="73C019D4" w14:textId="60DBD63C" w:rsidR="005B4607" w:rsidRDefault="005B4607" w:rsidP="004A1542">
      <w:r>
        <w:t xml:space="preserve">Future work </w:t>
      </w:r>
      <w:r w:rsidR="006524AA">
        <w:t xml:space="preserve">can likely extend this in multiple ways. One is to expand the models to not just domestic violence, but additional crimes. Aggravated assault domestic violence overall has reasonably high reporting rates, less serious crimes </w:t>
      </w:r>
      <w:r w:rsidR="00E20941">
        <w:t xml:space="preserve">will have lower reporting rates. Thus they will have bigger impacts on trends over time. </w:t>
      </w:r>
      <w:r w:rsidR="003A25EE">
        <w:t>It will also be the case that more accurate modelling of reporting rates can likely be done, given that more serious events are quite rare, but using a multi-level modelling approach of the NCVS.</w:t>
      </w:r>
      <w:r w:rsidR="00C55597">
        <w:t xml:space="preserve"> It bears investigating whether reporting rates decreasing in recent years for domestic violence are idiosyncratic to that crime type, or is a more general pattern across multiple crime types.</w:t>
      </w:r>
    </w:p>
    <w:p w14:paraId="372696E4" w14:textId="66B8F6FD" w:rsidR="00C55597" w:rsidRDefault="007B3B39" w:rsidP="004A1542">
      <w:r>
        <w:lastRenderedPageBreak/>
        <w:t>One aspect of the NIBRS data collection that also is important to consider is that NIBRS is difficult to generate other sub-population estimates. Say someone wanted the rate in the state of North Carolina, or in counties across the US. Given that agencies have overlapping jurisdictions, and that there is no single repository of geographic areas jurisdictions cover, this is difficult.</w:t>
      </w:r>
    </w:p>
    <w:p w14:paraId="488B2492" w14:textId="516A47F6" w:rsidR="007B3B39" w:rsidRDefault="007B3B39" w:rsidP="004A1542">
      <w:r>
        <w:t>To be able to generate geographic estimates, one will need to collate data on jurisdictional boundaries across the NIBRS sample. Once that is completed, generating spatial area estimates for large areas will be more feasible.</w:t>
      </w:r>
    </w:p>
    <w:p w14:paraId="3CABD494" w14:textId="1E3C6E7C" w:rsidR="001459B2" w:rsidRPr="001459B2" w:rsidRDefault="001459B2" w:rsidP="004A1542">
      <w:r>
        <w:t xml:space="preserve">A final aspect for future work is applying such estimates in </w:t>
      </w:r>
      <w:r>
        <w:rPr>
          <w:i/>
          <w:iCs/>
        </w:rPr>
        <w:t>real time</w:t>
      </w:r>
      <w:r>
        <w:t>. So currently this methodology relies on NIBRS data disseminated by the FBI. There is no fundamental reason however this cannot be done using real time data for police department. A department could generate such estimates using open data they disseminate, given the same information I use here for models is disseminated in the open source data. These models aggregate up to the yearly level, but there is no fundamental reason they cannot be applied to smaller temporal slices.</w:t>
      </w:r>
    </w:p>
    <w:p w14:paraId="206AB9D8" w14:textId="6901EC99" w:rsidR="004A1542" w:rsidRPr="0006584F" w:rsidRDefault="001C20D2" w:rsidP="004A1542">
      <w:pPr>
        <w:rPr>
          <w:b/>
          <w:bCs/>
        </w:rPr>
      </w:pPr>
      <w:r w:rsidRPr="0006584F">
        <w:rPr>
          <w:b/>
          <w:bCs/>
        </w:rPr>
        <w:t>References</w:t>
      </w:r>
    </w:p>
    <w:p w14:paraId="0D77D4F7" w14:textId="3AA50D2A" w:rsidR="00E70A73" w:rsidRDefault="00E70A73" w:rsidP="00E70A73">
      <w:r>
        <w:t xml:space="preserve">Harrell, F. E. (2001). </w:t>
      </w:r>
      <w:r w:rsidRPr="00C51D93">
        <w:rPr>
          <w:i/>
          <w:iCs/>
        </w:rPr>
        <w:t>Regression modeling strategies: with applications to linear models, logistic regression, and survival analysis</w:t>
      </w:r>
      <w:r>
        <w:t xml:space="preserve">. New York: </w:t>
      </w:r>
      <w:r w:rsidR="00FC35FA">
        <w:t>S</w:t>
      </w:r>
      <w:r>
        <w:t>pringer.</w:t>
      </w:r>
    </w:p>
    <w:p w14:paraId="5A754968" w14:textId="46427D47" w:rsidR="00266163" w:rsidRPr="00266163" w:rsidRDefault="00266163" w:rsidP="00E70A73">
      <w:r>
        <w:t xml:space="preserve">Kaplan, J. (2023). </w:t>
      </w:r>
      <w:r>
        <w:rPr>
          <w:i/>
          <w:iCs/>
        </w:rPr>
        <w:t>Uniform Crime Reporting (UCR) Program Data: A Practitioner’s Guide</w:t>
      </w:r>
      <w:r>
        <w:t xml:space="preserve">. </w:t>
      </w:r>
      <w:hyperlink r:id="rId13" w:history="1">
        <w:r w:rsidRPr="000C1C65">
          <w:rPr>
            <w:rStyle w:val="Hyperlink"/>
          </w:rPr>
          <w:t>https://ucrbook.com/</w:t>
        </w:r>
      </w:hyperlink>
      <w:r>
        <w:t xml:space="preserve"> </w:t>
      </w:r>
    </w:p>
    <w:p w14:paraId="14914A4C" w14:textId="77777777" w:rsidR="00E70A73" w:rsidRDefault="00E70A73" w:rsidP="00E70A73">
      <w:r>
        <w:t>Kaplan, J. (2024) Jacob Kaplan's Concatenated Files: National Incident-Based Reporting System (NIBRS) Data, 1991-2022. https://www.openicpsr.org/openicpsr/project/118281/version/V9/view</w:t>
      </w:r>
    </w:p>
    <w:p w14:paraId="29ACC79A" w14:textId="77777777" w:rsidR="00E70A73" w:rsidRDefault="00E70A73" w:rsidP="00E70A73">
      <w:r>
        <w:t>Powers, R. A., &amp; Bleeker, K. (2023). Self-defense and police reporting of intimate partner violent victimization: A comparison of White, Black, and Hispanic women victims</w:t>
      </w:r>
      <w:r w:rsidRPr="00C51D93">
        <w:rPr>
          <w:i/>
          <w:iCs/>
        </w:rPr>
        <w:t>. Journal of interpersonal violence</w:t>
      </w:r>
      <w:r>
        <w:t>, 38(3-4), 4189-4214.</w:t>
      </w:r>
    </w:p>
    <w:p w14:paraId="7DD29DA5" w14:textId="08789C8E" w:rsidR="004A1542" w:rsidRDefault="00E70A73" w:rsidP="00E70A73">
      <w:r>
        <w:t xml:space="preserve">United States. Bureau of Justice Statistics. </w:t>
      </w:r>
      <w:r w:rsidRPr="00C51D93">
        <w:rPr>
          <w:i/>
          <w:iCs/>
        </w:rPr>
        <w:t>National Crime Victimization Survey, Concatenated File</w:t>
      </w:r>
      <w:r>
        <w:t>, [United States], 1992-2022. Inter-university Consortium for Political and Social Research [distributor], 2023-09-18. https://doi.org/10.3886/ICPSR38604.v1</w:t>
      </w:r>
    </w:p>
    <w:p w14:paraId="7D166F45" w14:textId="77777777" w:rsidR="004A1542" w:rsidRDefault="004A1542"/>
    <w:p w14:paraId="05277C7F" w14:textId="26226753" w:rsidR="00960D40" w:rsidRDefault="00960D40">
      <w:pPr>
        <w:rPr>
          <w:b/>
          <w:bCs/>
        </w:rPr>
      </w:pPr>
      <w:r w:rsidRPr="00960D40">
        <w:rPr>
          <w:b/>
          <w:bCs/>
        </w:rPr>
        <w:t>Additional City Graphs</w:t>
      </w:r>
    </w:p>
    <w:p w14:paraId="63D34B1E" w14:textId="3ADCFAB1" w:rsidR="00960D40" w:rsidRDefault="00960D40">
      <w:r>
        <w:rPr>
          <w:noProof/>
        </w:rPr>
        <w:lastRenderedPageBreak/>
        <w:drawing>
          <wp:inline distT="0" distB="0" distL="0" distR="0" wp14:anchorId="39BD0EDF" wp14:editId="4A8A1C09">
            <wp:extent cx="5943600" cy="2971800"/>
            <wp:effectExtent l="0" t="0" r="0" b="0"/>
            <wp:docPr id="969763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541DC23" w14:textId="2DBD47D1" w:rsidR="00960D40" w:rsidRDefault="00960D40">
      <w:r>
        <w:rPr>
          <w:noProof/>
        </w:rPr>
        <w:drawing>
          <wp:inline distT="0" distB="0" distL="0" distR="0" wp14:anchorId="42B03D8C" wp14:editId="0E92B884">
            <wp:extent cx="5943600" cy="3714750"/>
            <wp:effectExtent l="0" t="0" r="0" b="0"/>
            <wp:docPr id="727289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DE8FCE5" w14:textId="1FAC9501" w:rsidR="00960D40" w:rsidRDefault="00960D40">
      <w:r>
        <w:rPr>
          <w:noProof/>
        </w:rPr>
        <w:lastRenderedPageBreak/>
        <w:drawing>
          <wp:inline distT="0" distB="0" distL="0" distR="0" wp14:anchorId="1A111E96" wp14:editId="4E013720">
            <wp:extent cx="5943600" cy="2971800"/>
            <wp:effectExtent l="0" t="0" r="0" b="0"/>
            <wp:docPr id="829862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6832731" w14:textId="07E57C77" w:rsidR="00960D40" w:rsidRDefault="00960D40">
      <w:r>
        <w:rPr>
          <w:noProof/>
        </w:rPr>
        <w:drawing>
          <wp:inline distT="0" distB="0" distL="0" distR="0" wp14:anchorId="69B94459" wp14:editId="5762E484">
            <wp:extent cx="5943600" cy="3714750"/>
            <wp:effectExtent l="0" t="0" r="0" b="0"/>
            <wp:docPr id="602937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0E4B888" w14:textId="1E9E5804" w:rsidR="00960D40" w:rsidRDefault="00960D40">
      <w:r>
        <w:rPr>
          <w:noProof/>
        </w:rPr>
        <w:lastRenderedPageBreak/>
        <w:drawing>
          <wp:inline distT="0" distB="0" distL="0" distR="0" wp14:anchorId="51C76680" wp14:editId="770BE6B3">
            <wp:extent cx="5943600" cy="2971800"/>
            <wp:effectExtent l="0" t="0" r="0" b="0"/>
            <wp:docPr id="13545717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811C380" w14:textId="77777777" w:rsidR="00960D40" w:rsidRDefault="00960D40"/>
    <w:p w14:paraId="042792A7" w14:textId="4EEF2957" w:rsidR="00960D40" w:rsidRDefault="00960D40">
      <w:r>
        <w:rPr>
          <w:noProof/>
        </w:rPr>
        <w:drawing>
          <wp:inline distT="0" distB="0" distL="0" distR="0" wp14:anchorId="3CEA2693" wp14:editId="2583D65A">
            <wp:extent cx="5943600" cy="3714750"/>
            <wp:effectExtent l="0" t="0" r="0" b="0"/>
            <wp:docPr id="6977735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D127964" w14:textId="77777777" w:rsidR="00960D40" w:rsidRDefault="00960D40"/>
    <w:p w14:paraId="65ADCB99" w14:textId="6F24E417" w:rsidR="00960D40" w:rsidRDefault="00960D40">
      <w:r>
        <w:rPr>
          <w:noProof/>
        </w:rPr>
        <w:lastRenderedPageBreak/>
        <w:drawing>
          <wp:inline distT="0" distB="0" distL="0" distR="0" wp14:anchorId="67D70F33" wp14:editId="728839F8">
            <wp:extent cx="5943600" cy="2971800"/>
            <wp:effectExtent l="0" t="0" r="0" b="0"/>
            <wp:docPr id="6160169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8C5193F" w14:textId="537D16BE" w:rsidR="00960D40" w:rsidRPr="00960D40" w:rsidRDefault="00960D40">
      <w:r>
        <w:rPr>
          <w:noProof/>
        </w:rPr>
        <w:drawing>
          <wp:inline distT="0" distB="0" distL="0" distR="0" wp14:anchorId="7A671383" wp14:editId="7CB1FE7E">
            <wp:extent cx="5943600" cy="3714750"/>
            <wp:effectExtent l="0" t="0" r="0" b="0"/>
            <wp:docPr id="8780603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sectPr w:rsidR="00960D40" w:rsidRPr="00960D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312E20"/>
    <w:multiLevelType w:val="multilevel"/>
    <w:tmpl w:val="5CA827F8"/>
    <w:styleLink w:val="CDCBullet"/>
    <w:lvl w:ilvl="0">
      <w:start w:val="1"/>
      <w:numFmt w:val="bullet"/>
      <w:lvlText w:val=""/>
      <w:lvlJc w:val="left"/>
      <w:pPr>
        <w:ind w:left="720" w:hanging="480"/>
      </w:pPr>
      <w:rPr>
        <w:rFonts w:ascii="Wingdings" w:hAnsi="Wingdings" w:hint="default"/>
      </w:rPr>
    </w:lvl>
    <w:lvl w:ilvl="1">
      <w:start w:val="1"/>
      <w:numFmt w:val="bullet"/>
      <w:lvlText w:val=""/>
      <w:lvlJc w:val="left"/>
      <w:pPr>
        <w:ind w:left="1440" w:hanging="480"/>
      </w:pPr>
      <w:rPr>
        <w:rFonts w:ascii="Wingdings" w:hAnsi="Wingdings"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68512742"/>
    <w:multiLevelType w:val="hybridMultilevel"/>
    <w:tmpl w:val="7DA24076"/>
    <w:lvl w:ilvl="0" w:tplc="0AF48E8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7C366FF0"/>
    <w:multiLevelType w:val="hybridMultilevel"/>
    <w:tmpl w:val="C0DC5B9A"/>
    <w:lvl w:ilvl="0" w:tplc="D3BA3F2A">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78676308">
    <w:abstractNumId w:val="2"/>
  </w:num>
  <w:num w:numId="2" w16cid:durableId="2142377298">
    <w:abstractNumId w:val="0"/>
  </w:num>
  <w:num w:numId="3" w16cid:durableId="1356729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B6"/>
    <w:rsid w:val="00042559"/>
    <w:rsid w:val="00043C4B"/>
    <w:rsid w:val="0006584F"/>
    <w:rsid w:val="000843F3"/>
    <w:rsid w:val="000E1A6E"/>
    <w:rsid w:val="000E59BD"/>
    <w:rsid w:val="00125A25"/>
    <w:rsid w:val="001323EB"/>
    <w:rsid w:val="001459B2"/>
    <w:rsid w:val="001500F3"/>
    <w:rsid w:val="001C20D2"/>
    <w:rsid w:val="001F28D2"/>
    <w:rsid w:val="00211670"/>
    <w:rsid w:val="002307DE"/>
    <w:rsid w:val="00266163"/>
    <w:rsid w:val="002A4A17"/>
    <w:rsid w:val="003822E7"/>
    <w:rsid w:val="00393F46"/>
    <w:rsid w:val="00395BA2"/>
    <w:rsid w:val="003A0A4C"/>
    <w:rsid w:val="003A25EE"/>
    <w:rsid w:val="003A7335"/>
    <w:rsid w:val="003C6710"/>
    <w:rsid w:val="00422174"/>
    <w:rsid w:val="00436B37"/>
    <w:rsid w:val="0045390E"/>
    <w:rsid w:val="004A1542"/>
    <w:rsid w:val="004E4917"/>
    <w:rsid w:val="005040FD"/>
    <w:rsid w:val="00507627"/>
    <w:rsid w:val="005571CD"/>
    <w:rsid w:val="00571246"/>
    <w:rsid w:val="005B4607"/>
    <w:rsid w:val="00627F90"/>
    <w:rsid w:val="006524AA"/>
    <w:rsid w:val="00696B0A"/>
    <w:rsid w:val="00697F36"/>
    <w:rsid w:val="006D41EF"/>
    <w:rsid w:val="007A6EF0"/>
    <w:rsid w:val="007B3B39"/>
    <w:rsid w:val="007E490D"/>
    <w:rsid w:val="00824585"/>
    <w:rsid w:val="008418E5"/>
    <w:rsid w:val="00876A70"/>
    <w:rsid w:val="00883397"/>
    <w:rsid w:val="00886405"/>
    <w:rsid w:val="00896B4D"/>
    <w:rsid w:val="008D6A79"/>
    <w:rsid w:val="008F1864"/>
    <w:rsid w:val="008F5240"/>
    <w:rsid w:val="00907A83"/>
    <w:rsid w:val="00942AA2"/>
    <w:rsid w:val="00960D40"/>
    <w:rsid w:val="00991BB6"/>
    <w:rsid w:val="009D63CC"/>
    <w:rsid w:val="00A17DFB"/>
    <w:rsid w:val="00A43661"/>
    <w:rsid w:val="00AA2250"/>
    <w:rsid w:val="00AA5E76"/>
    <w:rsid w:val="00B16A3B"/>
    <w:rsid w:val="00B6057F"/>
    <w:rsid w:val="00C3468C"/>
    <w:rsid w:val="00C51D93"/>
    <w:rsid w:val="00C55597"/>
    <w:rsid w:val="00CB5A5F"/>
    <w:rsid w:val="00CD7BD6"/>
    <w:rsid w:val="00CF4481"/>
    <w:rsid w:val="00D246DE"/>
    <w:rsid w:val="00DB54DE"/>
    <w:rsid w:val="00E10924"/>
    <w:rsid w:val="00E12C32"/>
    <w:rsid w:val="00E1472B"/>
    <w:rsid w:val="00E20941"/>
    <w:rsid w:val="00E70A73"/>
    <w:rsid w:val="00EA6AF2"/>
    <w:rsid w:val="00F0009C"/>
    <w:rsid w:val="00F252AF"/>
    <w:rsid w:val="00F41C0A"/>
    <w:rsid w:val="00F45FF2"/>
    <w:rsid w:val="00F6173D"/>
    <w:rsid w:val="00FC3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92B"/>
  <w15:chartTrackingRefBased/>
  <w15:docId w15:val="{BD230F66-4F17-4961-A0BD-16EB7252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A70"/>
  </w:style>
  <w:style w:type="paragraph" w:styleId="Heading1">
    <w:name w:val="heading 1"/>
    <w:basedOn w:val="Normal"/>
    <w:next w:val="BodyText"/>
    <w:link w:val="Heading1Char"/>
    <w:uiPriority w:val="9"/>
    <w:qFormat/>
    <w:rsid w:val="00A17DFB"/>
    <w:pPr>
      <w:keepNext/>
      <w:keepLines/>
      <w:spacing w:before="480" w:after="0"/>
      <w:outlineLvl w:val="0"/>
    </w:pPr>
    <w:rPr>
      <w:rFonts w:ascii="Verdana" w:eastAsiaTheme="majorEastAsia" w:hAnsi="Verdana" w:cstheme="majorBidi"/>
      <w:b/>
      <w:bCs/>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DCTable">
    <w:name w:val="CDC_Table"/>
    <w:basedOn w:val="TableNormal"/>
    <w:uiPriority w:val="99"/>
    <w:rsid w:val="007A6EF0"/>
    <w:pPr>
      <w:spacing w:after="0"/>
    </w:pPr>
    <w:rPr>
      <w:rFonts w:ascii="Consolas" w:eastAsiaTheme="minorEastAsia" w:hAnsi="Consolas"/>
      <w:kern w:val="0"/>
      <w:sz w:val="22"/>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paragraph" w:styleId="Title">
    <w:name w:val="Title"/>
    <w:basedOn w:val="Normal"/>
    <w:next w:val="BodyText"/>
    <w:link w:val="TitleChar"/>
    <w:qFormat/>
    <w:rsid w:val="00F45FF2"/>
    <w:pPr>
      <w:keepNext/>
      <w:keepLines/>
      <w:spacing w:before="480" w:after="240"/>
    </w:pPr>
    <w:rPr>
      <w:rFonts w:ascii="Verdana" w:eastAsiaTheme="majorEastAsia" w:hAnsi="Verdana" w:cstheme="majorBidi"/>
      <w:b/>
      <w:bCs/>
      <w:smallCaps/>
      <w:kern w:val="0"/>
      <w:sz w:val="72"/>
      <w:szCs w:val="36"/>
      <w14:ligatures w14:val="none"/>
    </w:rPr>
  </w:style>
  <w:style w:type="character" w:customStyle="1" w:styleId="TitleChar">
    <w:name w:val="Title Char"/>
    <w:basedOn w:val="DefaultParagraphFont"/>
    <w:link w:val="Title"/>
    <w:rsid w:val="00F45FF2"/>
    <w:rPr>
      <w:rFonts w:ascii="Verdana" w:eastAsiaTheme="majorEastAsia" w:hAnsi="Verdana" w:cstheme="majorBidi"/>
      <w:b/>
      <w:bCs/>
      <w:smallCaps/>
      <w:kern w:val="0"/>
      <w:sz w:val="72"/>
      <w:szCs w:val="36"/>
      <w14:ligatures w14:val="none"/>
    </w:rPr>
  </w:style>
  <w:style w:type="paragraph" w:styleId="ListParagraph">
    <w:name w:val="List Paragraph"/>
    <w:basedOn w:val="Normal"/>
    <w:uiPriority w:val="34"/>
    <w:qFormat/>
    <w:rsid w:val="00F252AF"/>
    <w:pPr>
      <w:numPr>
        <w:numId w:val="1"/>
      </w:numPr>
      <w:contextualSpacing/>
    </w:pPr>
    <w:rPr>
      <w:rFonts w:ascii="Verdana" w:eastAsiaTheme="minorEastAsia" w:hAnsi="Verdana"/>
      <w:kern w:val="0"/>
      <w14:ligatures w14:val="none"/>
    </w:rPr>
  </w:style>
  <w:style w:type="table" w:customStyle="1" w:styleId="Compact">
    <w:name w:val="Compact"/>
    <w:basedOn w:val="TableNormal"/>
    <w:uiPriority w:val="99"/>
    <w:rsid w:val="00896B4D"/>
    <w:pPr>
      <w:spacing w:after="0"/>
    </w:pPr>
    <w:rPr>
      <w:rFonts w:ascii="Verdana" w:eastAsiaTheme="minorEastAsia" w:hAnsi="Verdana"/>
      <w:kern w:val="0"/>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paragraph" w:customStyle="1" w:styleId="Author">
    <w:name w:val="Author"/>
    <w:next w:val="BodyText"/>
    <w:qFormat/>
    <w:rsid w:val="00A17DFB"/>
    <w:pPr>
      <w:keepNext/>
      <w:keepLines/>
      <w:jc w:val="center"/>
    </w:pPr>
    <w:rPr>
      <w:rFonts w:ascii="Verdana" w:hAnsi="Verdana"/>
      <w:b/>
      <w:kern w:val="0"/>
      <w14:ligatures w14:val="none"/>
    </w:rPr>
  </w:style>
  <w:style w:type="paragraph" w:styleId="BodyText">
    <w:name w:val="Body Text"/>
    <w:basedOn w:val="Normal"/>
    <w:link w:val="BodyTextChar"/>
    <w:uiPriority w:val="99"/>
    <w:semiHidden/>
    <w:unhideWhenUsed/>
    <w:rsid w:val="00A17DFB"/>
    <w:pPr>
      <w:spacing w:after="120"/>
    </w:pPr>
  </w:style>
  <w:style w:type="character" w:customStyle="1" w:styleId="BodyTextChar">
    <w:name w:val="Body Text Char"/>
    <w:basedOn w:val="DefaultParagraphFont"/>
    <w:link w:val="BodyText"/>
    <w:uiPriority w:val="99"/>
    <w:semiHidden/>
    <w:rsid w:val="00A17DFB"/>
  </w:style>
  <w:style w:type="paragraph" w:styleId="Date">
    <w:name w:val="Date"/>
    <w:next w:val="BodyText"/>
    <w:link w:val="DateChar"/>
    <w:qFormat/>
    <w:rsid w:val="00A17DFB"/>
    <w:pPr>
      <w:keepNext/>
      <w:keepLines/>
      <w:jc w:val="center"/>
    </w:pPr>
    <w:rPr>
      <w:rFonts w:ascii="Verdana" w:hAnsi="Verdana"/>
      <w:i/>
      <w:kern w:val="0"/>
      <w14:ligatures w14:val="none"/>
    </w:rPr>
  </w:style>
  <w:style w:type="character" w:customStyle="1" w:styleId="DateChar">
    <w:name w:val="Date Char"/>
    <w:basedOn w:val="DefaultParagraphFont"/>
    <w:link w:val="Date"/>
    <w:rsid w:val="00A17DFB"/>
    <w:rPr>
      <w:rFonts w:ascii="Verdana" w:hAnsi="Verdana"/>
      <w:i/>
      <w:kern w:val="0"/>
      <w:sz w:val="24"/>
      <w:szCs w:val="24"/>
      <w14:ligatures w14:val="none"/>
    </w:rPr>
  </w:style>
  <w:style w:type="character" w:customStyle="1" w:styleId="Heading1Char">
    <w:name w:val="Heading 1 Char"/>
    <w:basedOn w:val="DefaultParagraphFont"/>
    <w:link w:val="Heading1"/>
    <w:uiPriority w:val="9"/>
    <w:rsid w:val="00A17DFB"/>
    <w:rPr>
      <w:rFonts w:ascii="Verdana" w:eastAsiaTheme="majorEastAsia" w:hAnsi="Verdana" w:cstheme="majorBidi"/>
      <w:b/>
      <w:bCs/>
      <w:kern w:val="0"/>
      <w:sz w:val="32"/>
      <w:szCs w:val="32"/>
      <w14:ligatures w14:val="none"/>
    </w:rPr>
  </w:style>
  <w:style w:type="paragraph" w:customStyle="1" w:styleId="FirstParagraph">
    <w:name w:val="First Paragraph"/>
    <w:basedOn w:val="BodyText"/>
    <w:next w:val="BodyText"/>
    <w:qFormat/>
    <w:rsid w:val="00A17DFB"/>
    <w:pPr>
      <w:spacing w:before="180" w:after="180"/>
    </w:pPr>
    <w:rPr>
      <w:rFonts w:ascii="Verdana" w:hAnsi="Verdana"/>
      <w:kern w:val="0"/>
      <w14:ligatures w14:val="none"/>
    </w:rPr>
  </w:style>
  <w:style w:type="paragraph" w:customStyle="1" w:styleId="TableCaption">
    <w:name w:val="Table Caption"/>
    <w:basedOn w:val="Caption"/>
    <w:rsid w:val="00A17DFB"/>
    <w:pPr>
      <w:keepNext/>
      <w:spacing w:after="120"/>
    </w:pPr>
    <w:rPr>
      <w:rFonts w:ascii="Verdana" w:hAnsi="Verdana"/>
      <w:iCs w:val="0"/>
      <w:color w:val="auto"/>
      <w:kern w:val="0"/>
      <w:sz w:val="20"/>
      <w:szCs w:val="24"/>
      <w14:ligatures w14:val="none"/>
    </w:rPr>
  </w:style>
  <w:style w:type="paragraph" w:styleId="Caption">
    <w:name w:val="caption"/>
    <w:basedOn w:val="Normal"/>
    <w:next w:val="Normal"/>
    <w:uiPriority w:val="35"/>
    <w:unhideWhenUsed/>
    <w:qFormat/>
    <w:rsid w:val="00A17DFB"/>
    <w:rPr>
      <w:i/>
      <w:iCs/>
      <w:color w:val="44546A" w:themeColor="text2"/>
      <w:sz w:val="18"/>
      <w:szCs w:val="18"/>
    </w:rPr>
  </w:style>
  <w:style w:type="paragraph" w:customStyle="1" w:styleId="Definition">
    <w:name w:val="Definition"/>
    <w:basedOn w:val="Normal"/>
    <w:rsid w:val="00A17DFB"/>
    <w:rPr>
      <w:rFonts w:ascii="Verdana" w:hAnsi="Verdana"/>
      <w:kern w:val="0"/>
      <w14:ligatures w14:val="none"/>
    </w:rPr>
  </w:style>
  <w:style w:type="paragraph" w:styleId="FootnoteText">
    <w:name w:val="footnote text"/>
    <w:basedOn w:val="Normal"/>
    <w:link w:val="FootnoteTextChar"/>
    <w:uiPriority w:val="9"/>
    <w:unhideWhenUsed/>
    <w:qFormat/>
    <w:rsid w:val="00A17DFB"/>
    <w:rPr>
      <w:rFonts w:ascii="Verdana" w:hAnsi="Verdana"/>
      <w:kern w:val="0"/>
      <w:sz w:val="18"/>
      <w14:ligatures w14:val="none"/>
    </w:rPr>
  </w:style>
  <w:style w:type="character" w:customStyle="1" w:styleId="FootnoteTextChar">
    <w:name w:val="Footnote Text Char"/>
    <w:basedOn w:val="DefaultParagraphFont"/>
    <w:link w:val="FootnoteText"/>
    <w:uiPriority w:val="9"/>
    <w:rsid w:val="00A17DFB"/>
    <w:rPr>
      <w:rFonts w:ascii="Verdana" w:hAnsi="Verdana"/>
      <w:kern w:val="0"/>
      <w:sz w:val="18"/>
      <w:szCs w:val="24"/>
      <w14:ligatures w14:val="none"/>
    </w:rPr>
  </w:style>
  <w:style w:type="table" w:styleId="GridTable4">
    <w:name w:val="Grid Table 4"/>
    <w:basedOn w:val="TableNormal"/>
    <w:uiPriority w:val="49"/>
    <w:rsid w:val="000E1A6E"/>
    <w:pPr>
      <w:spacing w:after="0"/>
      <w:jc w:val="right"/>
    </w:pPr>
    <w:rPr>
      <w:rFonts w:ascii="Consolas" w:hAnsi="Consolas"/>
      <w:kern w:val="0"/>
      <w:sz w:val="22"/>
      <w14:ligatures w14:val="none"/>
    </w:rPr>
    <w:tblPr>
      <w:tblStyleRowBandSize w:val="1"/>
      <w:tblStyleColBandSize w:val="1"/>
    </w:tblPr>
    <w:tcPr>
      <w:shd w:val="clear" w:color="auto" w:fill="FFFFFF" w:themeFill="background1"/>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pPr>
        <w:jc w:val="left"/>
      </w:pPr>
      <w:rPr>
        <w:b w:val="0"/>
        <w:bCs/>
      </w:rPr>
    </w:tblStylePr>
    <w:tblStylePr w:type="lastCol">
      <w:rPr>
        <w:b/>
        <w:bCs/>
      </w:rPr>
    </w:tblStylePr>
    <w:tblStylePr w:type="band1Vert">
      <w:tblPr/>
      <w:tcPr>
        <w:shd w:val="clear" w:color="auto" w:fill="CCCCCC" w:themeFill="text1" w:themeFillTint="33"/>
      </w:tcPr>
    </w:tblStylePr>
    <w:tblStylePr w:type="band2Horz">
      <w:tblPr/>
      <w:tcPr>
        <w:shd w:val="clear" w:color="auto" w:fill="D9D9D9" w:themeFill="background1" w:themeFillShade="D9"/>
      </w:tcPr>
    </w:tblStylePr>
  </w:style>
  <w:style w:type="table" w:customStyle="1" w:styleId="TableNormal0">
    <w:name w:val="TableNormal"/>
    <w:basedOn w:val="TableNormal"/>
    <w:uiPriority w:val="99"/>
    <w:rsid w:val="001F28D2"/>
    <w:pPr>
      <w:spacing w:after="0"/>
    </w:pPr>
    <w:rPr>
      <w:rFonts w:ascii="Verdana" w:eastAsiaTheme="minorEastAsia" w:hAnsi="Verdana"/>
      <w:kern w:val="0"/>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numbering" w:customStyle="1" w:styleId="CDCBullet">
    <w:name w:val="CDC Bullet"/>
    <w:uiPriority w:val="99"/>
    <w:rsid w:val="00627F90"/>
    <w:pPr>
      <w:numPr>
        <w:numId w:val="2"/>
      </w:numPr>
    </w:pPr>
  </w:style>
  <w:style w:type="character" w:styleId="PlaceholderText">
    <w:name w:val="Placeholder Text"/>
    <w:basedOn w:val="DefaultParagraphFont"/>
    <w:uiPriority w:val="99"/>
    <w:semiHidden/>
    <w:rsid w:val="006D41EF"/>
    <w:rPr>
      <w:color w:val="666666"/>
    </w:rPr>
  </w:style>
  <w:style w:type="character" w:styleId="Hyperlink">
    <w:name w:val="Hyperlink"/>
    <w:basedOn w:val="DefaultParagraphFont"/>
    <w:uiPriority w:val="99"/>
    <w:unhideWhenUsed/>
    <w:rsid w:val="00E10924"/>
    <w:rPr>
      <w:color w:val="0563C1" w:themeColor="hyperlink"/>
      <w:u w:val="single"/>
    </w:rPr>
  </w:style>
  <w:style w:type="character" w:styleId="UnresolvedMention">
    <w:name w:val="Unresolved Mention"/>
    <w:basedOn w:val="DefaultParagraphFont"/>
    <w:uiPriority w:val="99"/>
    <w:semiHidden/>
    <w:unhideWhenUsed/>
    <w:rsid w:val="00E109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128825">
      <w:bodyDiv w:val="1"/>
      <w:marLeft w:val="0"/>
      <w:marRight w:val="0"/>
      <w:marTop w:val="0"/>
      <w:marBottom w:val="0"/>
      <w:divBdr>
        <w:top w:val="none" w:sz="0" w:space="0" w:color="auto"/>
        <w:left w:val="none" w:sz="0" w:space="0" w:color="auto"/>
        <w:bottom w:val="none" w:sz="0" w:space="0" w:color="auto"/>
        <w:right w:val="none" w:sz="0" w:space="0" w:color="auto"/>
      </w:divBdr>
    </w:div>
    <w:div w:id="155007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ucrbook.com/"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pwheele/dvtrends"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14</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Wheeler</dc:creator>
  <cp:keywords/>
  <dc:description/>
  <cp:lastModifiedBy>Andrew Wheeler</cp:lastModifiedBy>
  <cp:revision>60</cp:revision>
  <dcterms:created xsi:type="dcterms:W3CDTF">2024-04-29T17:09:00Z</dcterms:created>
  <dcterms:modified xsi:type="dcterms:W3CDTF">2024-04-30T17:43:00Z</dcterms:modified>
</cp:coreProperties>
</file>