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구매 및 샘플/특송 프로세스 안내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✅ 1. 일반 구매 프로세스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ERP [구매요청등록] 메뉴에서 품목 등록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ERP [구매요청관리] 메뉴에서 결재 상신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구매 담당자가 단가 확인 후 발주 신청서 내부 결재 진행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PO(Purchase Order) 생성 후 거래처에 전달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✅ 2. 샘플 구매 프로세스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🔹 2-1. 유상 샘플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· 일반 구매 프로세스와 동일하게 진행</w:t>
        <w:br w:type="textWrapping"/>
        <w:t xml:space="preserve">  ERP 구매요청 등록 → 결재 → 구매 담당자 발주서 작성 및 내부 결재 → 거래처 PO 전달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🔹</w:t>
      </w:r>
      <w:r w:rsidDel="00000000" w:rsidR="00000000" w:rsidRPr="00000000">
        <w:rPr>
          <w:rtl w:val="0"/>
        </w:rPr>
        <w:t xml:space="preserve"> 2-2. 무상 샘플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· 각 부서 ↔ 루미 담당자 간 직접 커뮤니케이션으로 진행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· 샘플은 무상이지만, 운송료 및 기타 비용은 아카라 부담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이므로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루미와 소통한 담당자가 </w:t>
      </w:r>
      <w:r w:rsidDel="00000000" w:rsidR="00000000" w:rsidRPr="00000000">
        <w:rPr>
          <w:rtl w:val="0"/>
        </w:rPr>
        <w:t xml:space="preserve">[기안서 - 무상수출입] 작성 필요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✅ 3. 중국 특송 (PSL) 사용 시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🔹 3-1. 수출 (샘플/서류 등)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[기안서 - 무상수출입] 작성</w:t>
        <w:br w:type="textWrapping"/>
        <w:t xml:space="preserve">2. 승민님이 그룹웨어에서 결재 확인</w:t>
        <w:br w:type="textWrapping"/>
        <w:t xml:space="preserve">3. PSL에 택배 전달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🔹 3-2. 수입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· 물품 수령 후 [기안서 - 무상수출입] 작성 필요</w:t>
        <w:br w:type="textWrapping"/>
        <w:t xml:space="preserve">· 2-2무상 샘플 수입과 동일 프로세스</w:t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⚠️ 유의사항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· PSL을 통한 유상 특송 건은 정식 통관 처리 → 구매 담당자가 별도 처리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· 무상 제품 및 서류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 </w:t>
      </w:r>
      <w:r w:rsidDel="00000000" w:rsidR="00000000" w:rsidRPr="00000000">
        <w:rPr>
          <w:rtl w:val="0"/>
        </w:rPr>
        <w:t xml:space="preserve">위 무상 수출입 프로세스 적용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Malgun Gothic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