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4"/>
          <w:szCs w:val="44"/>
        </w:rPr>
        <w:t xml:space="preserve">Applicable Laws &amp; Regulatory Requirements Register</w:t>
      </w:r>
    </w:p>
    <w:p>
      <w:pPr>
        <w:spacing w:after="40" w:before="0"/>
        <w:jc w:val="center"/>
      </w:pPr>
      <w:r>
        <w:rPr>
          <w:rFonts w:ascii="Arial" w:cs="Arial" w:eastAsia="Arial" w:hAnsi="Arial"/>
          <w:color w:val="444444"/>
          <w:sz w:val="20"/>
          <w:szCs w:val="20"/>
        </w:rPr>
        <w:t xml:space="preserve">Providence Global Center (PGC) ↔ AdventHealth (AH)  |  Effective Date: March 2026  |  Owner: Varun Sivalenka / Lokesh Aarani</w:t>
      </w:r>
    </w:p>
    <w:p>
      <w:pPr>
        <w:spacing w:after="240" w:before="0"/>
        <w:jc w:val="center"/>
      </w:pPr>
      <w:r>
        <w:rPr>
          <w:rFonts w:ascii="Arial" w:cs="Arial" w:eastAsia="Arial" w:hAnsi="Arial"/>
          <w:b/>
          <w:bCs/>
          <w:color w:val="C00000"/>
          <w:sz w:val="18"/>
          <w:szCs w:val="18"/>
        </w:rPr>
        <w:t xml:space="preserve">Item 4 — MSA Regulatory Compliance Control  |  Control Status: In Progress → Finalizing</w:t>
      </w:r>
    </w:p>
    <w:p>
      <w:pPr>
        <w:pBdr>
          <w:bottom w:val="single" w:color="1F4E79" w:sz="6" w:space="1"/>
        </w:pBdr>
        <w:spacing w:after="120" w:before="320"/>
      </w:pPr>
      <w:r>
        <w:rPr>
          <w:rFonts w:ascii="Arial" w:cs="Arial" w:eastAsia="Arial" w:hAnsi="Arial"/>
          <w:b/>
          <w:bCs/>
          <w:color w:val="1F4E79"/>
          <w:sz w:val="28"/>
          <w:szCs w:val="28"/>
        </w:rPr>
        <w:t xml:space="preserve">Purpose &amp; Scope</w:t>
      </w:r>
    </w:p>
    <w:p>
      <w:pPr>
        <w:spacing w:after="80" w:before="80"/>
      </w:pPr>
      <w:r>
        <w:rPr>
          <w:rFonts w:ascii="Arial" w:cs="Arial" w:eastAsia="Arial" w:hAnsi="Arial"/>
          <w:b w:val="false"/>
          <w:bCs w:val="false"/>
          <w:sz w:val="20"/>
          <w:szCs w:val="20"/>
        </w:rPr>
        <w:t xml:space="preserve">This register replaces the broad reference to 'all applicable laws' in the MSA with a finite, auditable list of laws, regulations, and standards that govern the PGC–AdventHealth engagement. PGC is responsible for monitoring these requirements and maintaining ongoing compliance. This document is to be reviewed annually and upon any material regulatory change, and shared with AdventHealth Legal/Compliance for sign-off.</w:t>
      </w:r>
    </w:p>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Registered Applicable Laws, Regulations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Law / Regulation / Standard</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Citation / Reference</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Jurisdiction / Type</w:t>
            </w:r>
          </w:p>
        </w:tc>
        <w:tc>
          <w:tcPr>
            <w:tcW w:type="dxa" w:w="17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Relevance to PGC–AH Engagement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HIPAA Privacy Rule</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45 CFR Part 164 Subpart 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PHI privacy protections, patient rights, permissible disclosures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HIPAA Security Rule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45 CFR §§ 164.302–318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Administrative, physical &amp; technical safeguards for ePHI</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HITECH Act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42 U.S.C. § 17931 et seq.</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Breach notification, expanded HIPAA liability, EHR incentives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Anti-Kickback Statute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42 U.S.C. § 1320a-7b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Prohibits remuneration to induce referrals for federal program services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Stark Law</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42 U.S.C. § 1395nn</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Prohibits physician self-referrals for designated health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Sherman Antitrust 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15 U.S.C. §§ 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Prohibits anti-competitive agreements, price fixing, market allocation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FTC Act – Section 5</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15 U.S.C. § 45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Prohibits unfair/deceptive acts; applies to healthcare market conduct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False Claims 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31 U.S.C. §§ 3729–3733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Liability for submitting false claims to federal health programs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21st Century Cures Act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Pub. L. 114-255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Federal</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Information blocking prohibition, interoperability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Florida Info. Protection Act (FIPA)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Fla. Stat. § 501.171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Florida State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Data breach notification obligations for personal/health information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Florida Patient Safety Act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Fla. Stat. § 395.0197</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Florida State</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Adverse incident reporting, patient safety programs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Florida Deceptive &amp; Unfair Trade Practices Act (FDUTPA)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Fla. Stat. §§ 501.201–213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Florida State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Prohibits deceptive trade practices in Florida commerce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NIST SP 800-53 Rev. 5</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NIST Publication</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Framework/Standard</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Security &amp; privacy controls for information systems (contractual ref.)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NIST Cybersecurity Framework (CSF 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NIST Publication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Framework/Standard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Identify, Protect, Detect, Respond, Recover functions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SOC 2 Type II</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AICPA TSC</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Framework/Standard</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Trust Services Criteria – Security, Availability, Confidentiality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ISO/IEC 27001:2022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ISO 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Framework/Standard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Information security management system requirements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HIPAA Business Associate Agreement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MSA Exhibit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Contractual</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BAA obligations between PGC (BA) and AdventHealth (CE)</w:t>
            </w:r>
          </w:p>
        </w:tc>
      </w:tr>
    </w:tbl>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Governance &amp; Review Obligations</w:t>
      </w:r>
    </w:p>
    <w:p>
      <w:pPr>
        <w:spacing w:after="80" w:before="80"/>
      </w:pPr>
      <w:r>
        <w:rPr>
          <w:rFonts w:ascii="Arial" w:cs="Arial" w:eastAsia="Arial" w:hAnsi="Arial"/>
          <w:b w:val="false"/>
          <w:bCs w:val="false"/>
          <w:sz w:val="20"/>
          <w:szCs w:val="20"/>
        </w:rPr>
        <w:t xml:space="preserve">1. Annual Review: This register shall be reviewed no later than January 31 of each calendar year.</w:t>
      </w:r>
    </w:p>
    <w:p>
      <w:pPr>
        <w:spacing w:after="80" w:before="80"/>
      </w:pPr>
      <w:r>
        <w:rPr>
          <w:rFonts w:ascii="Arial" w:cs="Arial" w:eastAsia="Arial" w:hAnsi="Arial"/>
          <w:b w:val="false"/>
          <w:bCs w:val="false"/>
          <w:sz w:val="20"/>
          <w:szCs w:val="20"/>
        </w:rPr>
        <w:t xml:space="preserve">2. Triggered Review: Any new federal or Florida state law affecting healthcare IT services or data privacy shall trigger an ad hoc review within 30 days of enactment.</w:t>
      </w:r>
    </w:p>
    <w:p>
      <w:pPr>
        <w:spacing w:after="80" w:before="80"/>
      </w:pPr>
      <w:r>
        <w:rPr>
          <w:rFonts w:ascii="Arial" w:cs="Arial" w:eastAsia="Arial" w:hAnsi="Arial"/>
          <w:b w:val="false"/>
          <w:bCs w:val="false"/>
          <w:sz w:val="20"/>
          <w:szCs w:val="20"/>
        </w:rPr>
        <w:t xml:space="preserve">3. Sign-Off: AdventHealth Legal &amp; Compliance must acknowledge the finalized register within 30 days of each annual review.</w:t>
      </w:r>
    </w:p>
    <w:p>
      <w:pPr>
        <w:spacing w:after="80" w:before="80"/>
      </w:pPr>
      <w:r>
        <w:rPr>
          <w:rFonts w:ascii="Arial" w:cs="Arial" w:eastAsia="Arial" w:hAnsi="Arial"/>
          <w:b w:val="false"/>
          <w:bCs w:val="false"/>
          <w:sz w:val="20"/>
          <w:szCs w:val="20"/>
        </w:rPr>
        <w:t xml:space="preserve">4. MSA Amendment: The phrase 'all applicable laws' in the MSA shall be replaced with reference to this Register as Exhibit A — Applicable Laws Register.</w:t>
      </w:r>
    </w:p>
    <w:p>
      <w:pPr>
        <w:spacing w:after="80" w:before="80"/>
      </w:pPr>
      <w:r>
        <w:rPr>
          <w:rFonts w:ascii="Arial" w:cs="Arial" w:eastAsia="Arial" w:hAnsi="Arial"/>
          <w:b w:val="false"/>
          <w:bCs w:val="false"/>
          <w:sz w:val="20"/>
          <w:szCs w:val="20"/>
        </w:rPr>
        <w:t xml:space="preserve">5. Ownership: Varun Sivalenka / Lokesh Aarani (PGC) are accountable for maintaining this register and communicating updates to AdventHealth.</w:t>
      </w:r>
    </w:p>
    <w:p>
      <w:pPr>
        <w:spacing w:after="80" w:before="80"/>
      </w:pPr>
      <w:r>
        <w:t xml:space="preserve"/>
      </w:r>
    </w:p>
    <w:p>
      <w:pPr>
        <w:pBdr>
          <w:bottom w:val="single" w:color="1F4E79" w:sz="6" w:space="1"/>
        </w:pBdr>
        <w:spacing w:after="120" w:before="320"/>
      </w:pPr>
      <w:r>
        <w:rPr>
          <w:rFonts w:ascii="Arial" w:cs="Arial" w:eastAsia="Arial" w:hAnsi="Arial"/>
          <w:b/>
          <w:bCs/>
          <w:color w:val="1F4E79"/>
          <w:sz w:val="28"/>
          <w:szCs w:val="2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960"/>
      </w:tblGrid>
      <w:tr>
        <w:trPr>
          <w:tblHeader/>
        </w:trPr>
        <w:tc>
          <w:tcPr>
            <w:tcW w:type="dxa" w:w="3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3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Name</w:t>
            </w:r>
          </w:p>
        </w:tc>
        <w:tc>
          <w:tcPr>
            <w:tcW w:type="dxa" w:w="3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Signature</w:t>
            </w:r>
          </w:p>
        </w:tc>
        <w:tc>
          <w:tcPr>
            <w:tcW w:type="dxa" w:w="39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PGC Compliance Owner</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Varun Sivalenka</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PGC Control Owner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Lokesh Aarani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AH Legal / Compliance</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sz w:val="18"/>
                <w:szCs w:val="18"/>
              </w:rPr>
              <w:t xml:space="preserve"/>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13680"/>
      </w:tabs>
    </w:pPr>
    <w:r>
      <w:rPr>
        <w:rFonts w:ascii="Arial" w:cs="Arial" w:eastAsia="Arial" w:hAnsi="Arial"/>
        <w:color w:val="666666"/>
        <w:sz w:val="16"/>
        <w:szCs w:val="16"/>
      </w:rPr>
      <w:t xml:space="preserve">CONFIDENTIAL — For Internal Compliance Use Only  |  Review Annually or Upon Regulatory Change</w:t>
    </w:r>
    <w:r>
      <w:rPr>
        <w:rFonts w:ascii="Arial" w:cs="Arial" w:eastAsia="Arial" w:hAnsi="Arial"/>
        <w:color w:val="66666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PROVIDENCE GLOBAL CENTER  |  ADVENTHEALTH MSA COMPLIANCE</w:t>
    </w:r>
    <w:r>
      <w:rPr>
        <w:rFonts w:ascii="Arial" w:cs="Arial" w:eastAsia="Arial" w:hAnsi="Arial"/>
        <w:color w:val="666666"/>
        <w:sz w:val="18"/>
        <w:szCs w:val="18"/>
      </w:rPr>
      <w:t xml:space="preserve">   |   APPLICABLE LAWS &amp; REGULATORY REQUIREMENTS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2026-03-10T11:24:01.164Z</dcterms:created>
  <dcterms:modified xsi:type="dcterms:W3CDTF">2026-03-10T11:24:01.166Z</dcterms:modified>
</cp:coreProperties>
</file>

<file path=docProps/custom.xml><?xml version="1.0" encoding="utf-8"?>
<Properties xmlns="http://schemas.openxmlformats.org/officeDocument/2006/custom-properties" xmlns:vt="http://schemas.openxmlformats.org/officeDocument/2006/docPropsVTypes"/>
</file>