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52"/>
          <w:szCs w:val="52"/>
        </w:rPr>
        <w:t xml:space="preserve">Monthly Compliance Posture Report</w:t>
      </w:r>
    </w:p>
    <w:p>
      <w:pPr>
        <w:spacing w:after="60" w:before="0"/>
        <w:jc w:val="center"/>
      </w:pPr>
      <w:r>
        <w:rPr>
          <w:rFonts w:ascii="Arial" w:cs="Arial" w:eastAsia="Arial" w:hAnsi="Arial"/>
          <w:color w:val="444444"/>
          <w:sz w:val="28"/>
          <w:szCs w:val="28"/>
        </w:rPr>
        <w:t xml:space="preserve">Providence Global Center (PGC)  ↔  AdventHealth (AH)</w:t>
      </w:r>
    </w:p>
    <w:p>
      <w:pPr>
        <w:spacing w:after="60" w:before="0"/>
        <w:jc w:val="center"/>
      </w:pPr>
      <w:r>
        <w:rPr>
          <w:rFonts w:ascii="Arial" w:cs="Arial" w:eastAsia="Arial" w:hAnsi="Arial"/>
          <w:color w:val="666666"/>
          <w:sz w:val="22"/>
          <w:szCs w:val="22"/>
        </w:rPr>
        <w:t xml:space="preserve">Reporting Period: March 2026  |  Report Date: 10 March 2026</w:t>
      </w:r>
    </w:p>
    <w:p>
      <w:pPr>
        <w:spacing w:after="320" w:before="0"/>
        <w:jc w:val="center"/>
      </w:pPr>
      <w:r>
        <w:rPr>
          <w:rFonts w:ascii="Arial" w:cs="Arial" w:eastAsia="Arial" w:hAnsi="Arial"/>
          <w:color w:val="888888"/>
          <w:sz w:val="20"/>
          <w:szCs w:val="20"/>
        </w:rPr>
        <w:t xml:space="preserve">Prepared by: PGC Compliance Team  |  Distribution: AH Compliance, PGC Leadership</w:t>
      </w:r>
    </w:p>
    <w:p>
      <w:pPr>
        <w:pBdr>
          <w:bottom w:val="single" w:color="1F4E79" w:sz="6" w:space="1"/>
        </w:pBdr>
        <w:spacing w:after="12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b w:val="false"/>
          <w:bCs w:val="false"/>
          <w:sz w:val="20"/>
          <w:szCs w:val="20"/>
        </w:rPr>
        <w:t xml:space="preserve">This report provides the monthly compliance posture update for controls under the Providence Global Center – AdventHealth Master Services Agreement (MSA). As of March 2026, three contractual controls remain open, all of which are past their original due dates. Active remediation is underway for two controls. One control (Item 16 – BCP) is substantially complete and pending leadership email approval from Tushar.</w:t>
      </w:r>
    </w:p>
    <w:p>
      <w:pPr>
        <w:spacing w:after="80" w:before="80"/>
      </w:pPr>
      <w:r>
        <w:t xml:space="preserve"/>
      </w:r>
    </w:p>
    <w:p>
      <w:pPr>
        <w:spacing w:after="80" w:before="80"/>
      </w:pPr>
      <w:r>
        <w:rPr>
          <w:rFonts w:ascii="Arial" w:cs="Arial" w:eastAsia="Arial" w:hAnsi="Arial"/>
          <w:b/>
          <w:bCs/>
          <w:sz w:val="20"/>
          <w:szCs w:val="20"/>
        </w:rPr>
        <w:t xml:space="preserve">Overall Compliance Posture: AMBER — Action Required</w:t>
      </w:r>
    </w:p>
    <w:p>
      <w:pPr>
        <w:spacing w:after="80" w:before="80"/>
      </w:pPr>
      <w:r>
        <w:rPr>
          <w:rFonts w:ascii="Arial" w:cs="Arial" w:eastAsia="Arial" w:hAnsi="Arial"/>
          <w:b w:val="false"/>
          <w:bCs w:val="false"/>
          <w:sz w:val="20"/>
          <w:szCs w:val="20"/>
        </w:rPr>
        <w:t xml:space="preserve">Key Risks: Two overdue contractual controls; annual security assessment not yet completed; applicable laws register not finalized.</w:t>
      </w:r>
    </w:p>
    <w:p>
      <w:pPr>
        <w:spacing w:after="80" w:before="80"/>
      </w:pPr>
      <w:r>
        <w:rPr>
          <w:rFonts w:ascii="Arial" w:cs="Arial" w:eastAsia="Arial" w:hAnsi="Arial"/>
          <w:b w:val="false"/>
          <w:bCs w:val="false"/>
          <w:sz w:val="20"/>
          <w:szCs w:val="20"/>
        </w:rPr>
        <w:t xml:space="preserve">Decisions Required: (1) Tushar to provide email approval for BCP — Item 16. (2) AdventHealth Legal to sign off on Applicable Laws Register — Item 4.</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2. Control Status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Count</w:t>
            </w:r>
          </w:p>
        </w:tc>
        <w:tc>
          <w:tcPr>
            <w:tcW w:type="dxa" w:w="1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of Total</w:t>
            </w:r>
          </w:p>
        </w:tc>
        <w:tc>
          <w:tcPr>
            <w:tcW w:type="dxa" w:w="1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Total Controls in Scope</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Completed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In Progress</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67%</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Overdue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33%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Awaiting External Approval</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33%</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r>
    </w:tbl>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3. Open Controls Register — Detailed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200"/>
        <w:gridCol w:w="2200"/>
        <w:gridCol w:w="1000"/>
        <w:gridCol w:w="760"/>
      </w:tblGrid>
      <w:tr>
        <w:trPr>
          <w:tblHeader/>
        </w:trPr>
        <w:tc>
          <w:tcPr>
            <w:tcW w:type="dxa" w:w="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Control Area</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 Category</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Due Date</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Recommendation / Action</w:t>
            </w:r>
          </w:p>
        </w:tc>
        <w:tc>
          <w:tcPr>
            <w:tcW w:type="dxa" w:w="1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c>
          <w:tcPr>
            <w:tcW w:type="dxa" w:w="7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Regulatory Requirements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Contractual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31/12/2025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Finalize Applicable Laws Register; obtain AH sign-off</w:t>
            </w:r>
          </w:p>
        </w:tc>
        <w:tc>
          <w:tcPr>
            <w:tcW w:type="dxa" w:w="10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Varun S. / Lokesh A.</w:t>
            </w:r>
          </w:p>
        </w:tc>
        <w:tc>
          <w:tcPr>
            <w:tcW w:type="dxa" w:w="76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rFonts w:ascii="Arial" w:cs="Arial" w:eastAsia="Arial" w:hAnsi="Arial"/>
                <w:b/>
                <w:bCs/>
                <w:sz w:val="18"/>
                <w:szCs w:val="18"/>
              </w:rPr>
              <w:t xml:space="preserve">In Progress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Data Leakage Prevention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Contractual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30/11/2025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Complete annual security assessment; deploy DLP controls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Sourav C. / Nikhil</w:t>
            </w:r>
          </w:p>
        </w:tc>
        <w:tc>
          <w:tcPr>
            <w:tcW w:type="dxa" w:w="760"/>
            <w:tcBorders>
              <w:top w:val="single" w:color="CCCCCC" w:sz="1"/>
              <w:left w:val="single" w:color="CCCCCC" w:sz="1"/>
              <w:bottom w:val="single" w:color="CCCCCC" w:sz="1"/>
              <w:right w:val="single" w:color="CCCCCC" w:sz="1"/>
            </w:tcBorders>
            <w:shd w:fill="FFDCE1" w:val="clear"/>
            <w:tcMar>
              <w:top w:type="dxa" w:w="80"/>
              <w:left w:type="dxa" w:w="100"/>
              <w:bottom w:type="dxa" w:w="80"/>
              <w:right w:type="dxa" w:w="100"/>
            </w:tcMar>
          </w:tcPr>
          <w:p>
            <w:r>
              <w:rPr>
                <w:rFonts w:ascii="Arial" w:cs="Arial" w:eastAsia="Arial" w:hAnsi="Arial"/>
                <w:b/>
                <w:bCs/>
                <w:sz w:val="18"/>
                <w:szCs w:val="18"/>
              </w:rPr>
              <w:t xml:space="preserve">Overdue</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16</w:t>
            </w:r>
          </w:p>
        </w:tc>
        <w:tc>
          <w:tcPr>
            <w:tcW w:type="dxa" w:w="22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Service Interruptions / BCP</w:t>
            </w:r>
          </w:p>
        </w:tc>
        <w:tc>
          <w:tcPr>
            <w:tcW w:type="dxa" w:w="14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Contractual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30/11/2025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BCP drafted; awaiting Tushar email approval</w:t>
            </w:r>
          </w:p>
        </w:tc>
        <w:tc>
          <w:tcPr>
            <w:tcW w:type="dxa" w:w="1000"/>
            <w:tcBorders>
              <w:top w:val="single" w:color="CCCCCC" w:sz="1"/>
              <w:left w:val="single" w:color="CCCCCC" w:sz="1"/>
              <w:bottom w:val="single" w:color="CCCCCC" w:sz="1"/>
              <w:right w:val="single" w:color="CCCCCC" w:sz="1"/>
            </w:tcBorders>
            <w:shd w:fill="F2F7FC" w:val="clear"/>
            <w:tcMar>
              <w:top w:type="dxa" w:w="80"/>
              <w:left w:type="dxa" w:w="100"/>
              <w:bottom w:type="dxa" w:w="80"/>
              <w:right w:type="dxa" w:w="100"/>
            </w:tcMar>
          </w:tcPr>
          <w:p>
            <w:r>
              <w:rPr>
                <w:rFonts w:ascii="Arial" w:cs="Arial" w:eastAsia="Arial" w:hAnsi="Arial"/>
                <w:b w:val="false"/>
                <w:bCs w:val="false"/>
                <w:sz w:val="18"/>
                <w:szCs w:val="18"/>
              </w:rPr>
              <w:t xml:space="preserve">Loveleena D. / Lokesh A.</w:t>
            </w:r>
          </w:p>
        </w:tc>
        <w:tc>
          <w:tcPr>
            <w:tcW w:type="dxa" w:w="76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rFonts w:ascii="Arial" w:cs="Arial" w:eastAsia="Arial" w:hAnsi="Arial"/>
                <w:b/>
                <w:bCs/>
                <w:sz w:val="18"/>
                <w:szCs w:val="18"/>
              </w:rPr>
              <w:t xml:space="preserve">In Progress</w:t>
            </w:r>
          </w:p>
        </w:tc>
      </w:tr>
    </w:tbl>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4. Completed Actions This Month</w:t>
      </w:r>
    </w:p>
    <w:p>
      <w:pPr>
        <w:pStyle w:val="ListParagraph"/>
        <w:numPr>
          <w:ilvl w:val="0"/>
          <w:numId w:val="2"/>
        </w:numPr>
        <w:spacing w:after="40" w:before="40"/>
      </w:pPr>
      <w:r>
        <w:rPr>
          <w:rFonts w:ascii="Arial" w:cs="Arial" w:eastAsia="Arial" w:hAnsi="Arial"/>
          <w:sz w:val="20"/>
          <w:szCs w:val="20"/>
        </w:rPr>
        <w:t xml:space="preserve">Item 16 (BCP): Business Continuity Plan fully drafted and implemented by Loveleena Dodeja / Lokesh Aarani. Submitted for Tushar approval.</w:t>
      </w:r>
    </w:p>
    <w:p>
      <w:pPr>
        <w:pStyle w:val="ListParagraph"/>
        <w:numPr>
          <w:ilvl w:val="0"/>
          <w:numId w:val="2"/>
        </w:numPr>
        <w:spacing w:after="40" w:before="40"/>
      </w:pPr>
      <w:r>
        <w:rPr>
          <w:rFonts w:ascii="Arial" w:cs="Arial" w:eastAsia="Arial" w:hAnsi="Arial"/>
          <w:sz w:val="20"/>
          <w:szCs w:val="20"/>
        </w:rPr>
        <w:t xml:space="preserve">Item 10 (DLP): Nikhil commenced technical DLP control implementation on endpoints and email systems.</w:t>
      </w:r>
    </w:p>
    <w:p>
      <w:pPr>
        <w:pStyle w:val="ListParagraph"/>
        <w:numPr>
          <w:ilvl w:val="0"/>
          <w:numId w:val="2"/>
        </w:numPr>
        <w:spacing w:after="40" w:before="40"/>
      </w:pPr>
      <w:r>
        <w:rPr>
          <w:rFonts w:ascii="Arial" w:cs="Arial" w:eastAsia="Arial" w:hAnsi="Arial"/>
          <w:sz w:val="20"/>
          <w:szCs w:val="20"/>
        </w:rPr>
        <w:t xml:space="preserve">Item 4 (Regulatory): Applicable Laws Register drafted by compliance team; finite law list prepared for AdventHealth review.</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5. Overdue Items Register</w:t>
      </w:r>
    </w:p>
    <w:p>
      <w:pPr>
        <w:spacing w:after="80" w:before="80"/>
      </w:pPr>
      <w:r>
        <w:rPr>
          <w:rFonts w:ascii="Arial" w:cs="Arial" w:eastAsia="Arial" w:hAnsi="Arial"/>
          <w:b w:val="false"/>
          <w:bCs w:val="false"/>
          <w:sz w:val="20"/>
          <w:szCs w:val="20"/>
        </w:rPr>
        <w:t xml:space="preserve">The following items are past their contractual due dates and require escalated attention: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1200"/>
        <w:gridCol w:w="1960"/>
        <w:gridCol w:w="1300"/>
        <w:gridCol w:w="1000"/>
      </w:tblGrid>
      <w:tr>
        <w:trPr>
          <w:tblHeader/>
        </w:trPr>
        <w:tc>
          <w:tcPr>
            <w:tcW w:type="dxa" w:w="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Original Due Date</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Days Overdue</w:t>
            </w:r>
          </w:p>
        </w:tc>
        <w:tc>
          <w:tcPr>
            <w:tcW w:type="dxa" w:w="19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Blocker / Reason</w:t>
            </w:r>
          </w:p>
        </w:tc>
        <w:tc>
          <w:tcPr>
            <w:tcW w:type="dxa" w:w="13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Escalation Owner</w:t>
            </w:r>
          </w:p>
        </w:tc>
        <w:tc>
          <w:tcPr>
            <w:tcW w:type="dxa" w:w="1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Next Action Due</w:t>
            </w:r>
          </w:p>
        </w:tc>
      </w:tr>
      <w:tr>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Data Leakage Prevention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30/11/2025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~100 days</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Annual security assessment not initiated earlier; DLP tools being deployed</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Varun Sivalenka</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31 Mar 2026</w:t>
            </w:r>
          </w:p>
        </w:tc>
      </w:tr>
      <w:tr>
        <w:tc>
          <w:tcPr>
            <w:tcW w:type="dxa" w:w="50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16</w:t>
            </w:r>
          </w:p>
        </w:tc>
        <w:tc>
          <w:tcPr>
            <w:tcW w:type="dxa" w:w="200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Service Interruptions / BCP</w:t>
            </w:r>
          </w:p>
        </w:tc>
        <w:tc>
          <w:tcPr>
            <w:tcW w:type="dxa" w:w="140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30/11/2025</w:t>
            </w:r>
          </w:p>
        </w:tc>
        <w:tc>
          <w:tcPr>
            <w:tcW w:type="dxa" w:w="120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~100 days</w:t>
            </w:r>
          </w:p>
        </w:tc>
        <w:tc>
          <w:tcPr>
            <w:tcW w:type="dxa" w:w="196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BCP drafted; awaiting Tushar email approval</w:t>
            </w:r>
          </w:p>
        </w:tc>
        <w:tc>
          <w:tcPr>
            <w:tcW w:type="dxa" w:w="130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Lokesh Aarani</w:t>
            </w:r>
          </w:p>
        </w:tc>
        <w:tc>
          <w:tcPr>
            <w:tcW w:type="dxa" w:w="1000"/>
            <w:tcBorders>
              <w:top w:val="single" w:color="CCCCCC" w:sz="1"/>
              <w:left w:val="single" w:color="CCCCCC" w:sz="1"/>
              <w:bottom w:val="single" w:color="CCCCCC" w:sz="1"/>
              <w:right w:val="single" w:color="CCCCCC" w:sz="1"/>
            </w:tcBorders>
            <w:shd w:fill="FFDCE1" w:val="clear"/>
            <w:tcMar>
              <w:top w:type="dxa" w:w="80"/>
              <w:left w:type="dxa" w:w="120"/>
              <w:bottom w:type="dxa" w:w="80"/>
              <w:right w:type="dxa" w:w="120"/>
            </w:tcMar>
            <w:vAlign w:val="center"/>
          </w:tcPr>
          <w:p>
            <w:r>
              <w:rPr>
                <w:rFonts w:ascii="Arial" w:cs="Arial" w:eastAsia="Arial" w:hAnsi="Arial"/>
                <w:sz w:val="18"/>
                <w:szCs w:val="18"/>
              </w:rPr>
              <w:t xml:space="preserve">Immediate</w:t>
            </w:r>
          </w:p>
        </w:tc>
      </w:tr>
    </w:tbl>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6. Regulatory Alerts &amp; Horizon Scanning</w:t>
      </w:r>
    </w:p>
    <w:p>
      <w:pPr>
        <w:pStyle w:val="ListParagraph"/>
        <w:numPr>
          <w:ilvl w:val="0"/>
          <w:numId w:val="2"/>
        </w:numPr>
        <w:spacing w:after="40" w:before="40"/>
      </w:pPr>
      <w:r>
        <w:rPr>
          <w:rFonts w:ascii="Arial" w:cs="Arial" w:eastAsia="Arial" w:hAnsi="Arial"/>
          <w:sz w:val="20"/>
          <w:szCs w:val="20"/>
        </w:rPr>
        <w:t xml:space="preserve">HHS OCR HIPAA Security Rule Updates (2024 NPRM): Proposed updates to the HIPAA Security Rule include enhanced requirements for multi-factor authentication, encryption, and network segmentation. PGC should monitor for final rule publication and assess impact on existing controls.</w:t>
      </w:r>
    </w:p>
    <w:p>
      <w:pPr>
        <w:pStyle w:val="ListParagraph"/>
        <w:numPr>
          <w:ilvl w:val="0"/>
          <w:numId w:val="2"/>
        </w:numPr>
        <w:spacing w:after="40" w:before="40"/>
      </w:pPr>
      <w:r>
        <w:rPr>
          <w:rFonts w:ascii="Arial" w:cs="Arial" w:eastAsia="Arial" w:hAnsi="Arial"/>
          <w:sz w:val="20"/>
          <w:szCs w:val="20"/>
        </w:rPr>
        <w:t xml:space="preserve">FTC Health Breach Notification Rule (Amended 2024): Expanded scope now covers health apps and related entities beyond traditional HIPAA-covered entities. Assess applicability to any PGC-developed health technology solutions.</w:t>
      </w:r>
    </w:p>
    <w:p>
      <w:pPr>
        <w:pStyle w:val="ListParagraph"/>
        <w:numPr>
          <w:ilvl w:val="0"/>
          <w:numId w:val="2"/>
        </w:numPr>
        <w:spacing w:after="40" w:before="40"/>
      </w:pPr>
      <w:r>
        <w:rPr>
          <w:rFonts w:ascii="Arial" w:cs="Arial" w:eastAsia="Arial" w:hAnsi="Arial"/>
          <w:sz w:val="20"/>
          <w:szCs w:val="20"/>
        </w:rPr>
        <w:t xml:space="preserve">Florida SB 262 (AI in Healthcare): Florida continues to advance AI governance legislation in healthcare settings. Monitor for enacted provisions affecting PGC's service delivery.</w:t>
      </w:r>
    </w:p>
    <w:p>
      <w:pPr>
        <w:pStyle w:val="ListParagraph"/>
        <w:numPr>
          <w:ilvl w:val="0"/>
          <w:numId w:val="2"/>
        </w:numPr>
        <w:spacing w:after="40" w:before="40"/>
      </w:pPr>
      <w:r>
        <w:rPr>
          <w:rFonts w:ascii="Arial" w:cs="Arial" w:eastAsia="Arial" w:hAnsi="Arial"/>
          <w:sz w:val="20"/>
          <w:szCs w:val="20"/>
        </w:rPr>
        <w:t xml:space="preserve">NIST CSF 2.0 (Released Feb 2024): Added 'Govern' function to the framework. PGC should evaluate current controls mapping against CSF 2.0 by next annual review.</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7. Action Items for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1760"/>
        <w:gridCol w:w="1400"/>
      </w:tblGrid>
      <w:tr>
        <w:trPr>
          <w:tblHeader/>
        </w:trPr>
        <w:tc>
          <w:tcPr>
            <w:tcW w:type="dxa" w:w="3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 Item</w:t>
            </w:r>
          </w:p>
        </w:tc>
        <w:tc>
          <w:tcPr>
            <w:tcW w:type="dxa" w:w="2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c>
          <w:tcPr>
            <w:tcW w:type="dxa" w:w="17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Due Date</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Obtain Tushar email approval for BCP (Item 16)</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Lokesh Aarani</w:t>
            </w:r>
          </w:p>
        </w:tc>
        <w:tc>
          <w:tcPr>
            <w:tcW w:type="dxa" w:w="1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Immediate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18"/>
                <w:szCs w:val="18"/>
              </w:rPr>
              <w:t xml:space="preserve">P1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Complete Annual Security Assessment (Item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Sourav Chanda / Nikhil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31 Mar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P1</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Share Applicable Laws Register with AH Legal for sign-off (Item 4)</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Varun Sivalenka</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15 Apr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Complete Endpoint &amp; Email DLP deployment (Item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Nikhil / Cybersecurity Team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30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P1</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Draft DLP Policy document (Item 10)</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Sourav Chanda</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15 Apr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Prepare Security Controls Matrix for AH (Item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Sourav Chanda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30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P1</w:t>
            </w:r>
          </w:p>
        </w:tc>
      </w:tr>
    </w:tbl>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8. Appendix — Evidence &amp; Document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800"/>
        <w:gridCol w:w="1760"/>
        <w:gridCol w:w="2000"/>
        <w:gridCol w:w="700"/>
      </w:tblGrid>
      <w:tr>
        <w:trPr>
          <w:tblHeader/>
        </w:trPr>
        <w:tc>
          <w:tcPr>
            <w:tcW w:type="dxa" w:w="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Document / Evidence</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Related Control</w:t>
            </w:r>
          </w:p>
        </w:tc>
        <w:tc>
          <w:tcPr>
            <w:tcW w:type="dxa" w:w="17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 / Date</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7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Location</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Applicable Laws Register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Item 4</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v1.0 — Mar 2026</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Draft — Pending AH sign-off</w:t>
            </w:r>
          </w:p>
        </w:tc>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SharePoint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DLP Completion Checklist &amp; Roadmap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Item 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v1.0 — 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Active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SharePoint</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Business Continuity Plan (BCP)</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Item 16</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v1.0 — Mar 2026</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Pending Tushar Approval</w:t>
            </w:r>
          </w:p>
        </w:tc>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SharePoint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Annual Security Assessment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Item 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2025–26 — 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Not yet completed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TBD</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SOC 2 Type II Report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Item 10</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Current period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Renewal in progress</w:t>
            </w:r>
          </w:p>
        </w:tc>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Secure vault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HIPAA Business Associate Agreement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Items 4, 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Executed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Confirmed current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Legal repository</w:t>
            </w:r>
          </w:p>
        </w:tc>
      </w:tr>
    </w:tbl>
    <w:p>
      <w:pPr>
        <w:spacing w:after="80" w:before="80"/>
      </w:pPr>
      <w:r>
        <w:t xml:space="preserve"/>
      </w:r>
    </w:p>
    <w:p>
      <w:pPr>
        <w:spacing w:after="80" w:before="80"/>
      </w:pPr>
      <w:r>
        <w:rPr>
          <w:rFonts w:ascii="Arial" w:cs="Arial" w:eastAsia="Arial" w:hAnsi="Arial"/>
          <w:b/>
          <w:bCs/>
          <w:sz w:val="20"/>
          <w:szCs w:val="20"/>
        </w:rPr>
        <w:t xml:space="preserve">Next Report Due: 10 April 2026  |  Distribution: AdventHealth Compliance Team, PGC Leadership, Control Owners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666666"/>
        <w:sz w:val="16"/>
        <w:szCs w:val="16"/>
      </w:rPr>
      <w:t xml:space="preserve">CONFIDENTIAL — PGC Internal Distribution &amp; AdventHealth Compliance Team Only</w:t>
    </w:r>
    <w:r>
      <w:rPr>
        <w:rFonts w:ascii="Arial" w:cs="Arial" w:eastAsia="Arial" w:hAnsi="Arial"/>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PROVIDENCE GLOBAL CENTER  |  ADVENTHEALTH</w:t>
    </w:r>
    <w:r>
      <w:rPr>
        <w:rFonts w:ascii="Arial" w:cs="Arial" w:eastAsia="Arial" w:hAnsi="Arial"/>
        <w:color w:val="666666"/>
        <w:sz w:val="18"/>
        <w:szCs w:val="18"/>
      </w:rPr>
      <w:t xml:space="preserve">   |   MONTHLY COMPLIANCE POSTURE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2026-03-10T11:24:01.190Z</dcterms:created>
  <dcterms:modified xsi:type="dcterms:W3CDTF">2026-03-10T11:24:01.190Z</dcterms:modified>
</cp:coreProperties>
</file>

<file path=docProps/custom.xml><?xml version="1.0" encoding="utf-8"?>
<Properties xmlns="http://schemas.openxmlformats.org/officeDocument/2006/custom-properties" xmlns:vt="http://schemas.openxmlformats.org/officeDocument/2006/docPropsVTypes"/>
</file>