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Product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Investments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One-off Fees Subheader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Ongoing Fees Subheader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Admin Fee (Floating)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Expense Recovery Fee (Flat)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ORR Levy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pStyle w:val="rowNormal1"/>
              <w:jc w:val="left"/>
            </w:pPr>
            <w:r>
              <w:t>Fund Accounting Fee (Flat)</w:t>
            </w:r>
          </w:p>
        </w:tc>
        <w:tc>
          <w:tcPr>
            <w:tcW w:type="dxa" w:w="432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