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736"/>
        <w:gridCol w:w="2160"/>
        <w:gridCol w:w="2160"/>
        <w:gridCol w:w="2160"/>
      </w:tblGrid>
      <w:tr>
        <w:tc>
          <w:tcPr>
            <w:tcW w:type="dxa" w:w="2736"/>
            <w:vAlign w:val="center"/>
          </w:tcPr>
          <w:p>
            <w:pPr>
              <w:pStyle w:val="rowNormal1"/>
              <w:jc w:val="left"/>
            </w:pPr>
            <w:r>
              <w:t>Description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Current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Change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Recommended</w:t>
            </w:r>
          </w:p>
        </w:tc>
      </w:tr>
      <w:tr>
        <w:tc>
          <w:tcPr>
            <w:tcW w:type="dxa" w:w="2736"/>
            <w:vAlign w:val="center"/>
          </w:tcPr>
          <w:p>
            <w:pPr>
              <w:pStyle w:val="rowNormal1"/>
              <w:jc w:val="left"/>
            </w:pPr>
            <w:r>
              <w:t>Agentia SuperSMA - Pension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</w:p>
        </w:tc>
      </w:tr>
      <w:tr>
        <w:tc>
          <w:tcPr>
            <w:tcW w:type="dxa" w:w="2736"/>
            <w:vAlign w:val="center"/>
          </w:tcPr>
          <w:p>
            <w:pPr>
              <w:pStyle w:val="rowNormal1"/>
              <w:jc w:val="left"/>
            </w:pPr>
            <w:r>
              <w:t>Investment number one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$50,000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$50,000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$0</w:t>
            </w:r>
          </w:p>
        </w:tc>
      </w:tr>
      <w:tr>
        <w:tc>
          <w:tcPr>
            <w:tcW w:type="dxa" w:w="2736"/>
            <w:vAlign w:val="center"/>
          </w:tcPr>
          <w:p>
            <w:pPr>
              <w:pStyle w:val="rowNormal1"/>
              <w:jc w:val="left"/>
            </w:pPr>
            <w:r>
              <w:t>Investment number one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$20,000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$20,000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$0</w:t>
            </w:r>
          </w:p>
        </w:tc>
      </w:tr>
      <w:tr>
        <w:tc>
          <w:tcPr>
            <w:tcW w:type="dxa" w:w="2736"/>
            <w:vAlign w:val="center"/>
          </w:tcPr>
          <w:p>
            <w:pPr>
              <w:pStyle w:val="rowNormal1"/>
              <w:jc w:val="left"/>
            </w:pPr>
            <w:r>
              <w:t>Investment number two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$60,000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$60,000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$0</w:t>
            </w:r>
          </w:p>
        </w:tc>
      </w:tr>
      <w:tr>
        <w:tc>
          <w:tcPr>
            <w:tcW w:type="dxa" w:w="2736"/>
            <w:vAlign w:val="center"/>
          </w:tcPr>
          <w:p>
            <w:pPr>
              <w:pStyle w:val="rowNormal1"/>
              <w:jc w:val="left"/>
            </w:pPr>
            <w:r>
              <w:t>Agentia SuperSMA - Pension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$130,000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$130,000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$0</w:t>
            </w:r>
          </w:p>
        </w:tc>
      </w:tr>
      <w:tr>
        <w:tc>
          <w:tcPr>
            <w:tcW w:type="dxa" w:w="2736"/>
            <w:vAlign w:val="center"/>
          </w:tcPr>
          <w:p>
            <w:pPr>
              <w:pStyle w:val="rowNormal1"/>
              <w:jc w:val="left"/>
            </w:pPr>
            <w:r>
              <w:t>Total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$130,000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$130,000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$0</w:t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4320"/>
      </w:tblGrid>
      <w:tr>
        <w:tc>
          <w:tcPr>
            <w:tcW w:type="dxa" w:w="2268"/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4320"/>
            <w:vAlign w:val="center"/>
          </w:tcPr>
          <w:p>
            <w:pPr>
              <w:pStyle w:val="rowHeader"/>
            </w:pPr>
            <w:r>
              <w:t>Current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Product</w:t>
            </w:r>
          </w:p>
        </w:tc>
        <w:tc>
          <w:tcPr>
            <w:tcW w:type="dxa" w:w="4320"/>
            <w:vAlign w:val="center"/>
          </w:tcPr>
          <w:p>
            <w:pPr>
              <w:pStyle w:val="rowNormal1"/>
            </w:pPr>
            <w:r>
              <w:t>Agentia SuperSMA - Pension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Balance</w:t>
            </w:r>
          </w:p>
        </w:tc>
        <w:tc>
          <w:tcPr>
            <w:tcW w:type="dxa" w:w="4320"/>
            <w:vAlign w:val="center"/>
          </w:tcPr>
          <w:p>
            <w:pPr>
              <w:pStyle w:val="rowNormal1"/>
            </w:pPr>
            <w:r>
              <w:t>$130,000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Investments</w:t>
            </w:r>
          </w:p>
        </w:tc>
        <w:tc>
          <w:tcPr>
            <w:tcW w:type="dxa" w:w="4320"/>
            <w:vAlign w:val="center"/>
          </w:tcPr>
          <w:p>
            <w:pPr>
              <w:pStyle w:val="rowNormal1"/>
            </w:pPr>
            <w:r>
              <w:t>Investment number one, Investment number one, Investment number two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One-off Fees Subheader</w:t>
            </w:r>
          </w:p>
        </w:tc>
        <w:tc>
          <w:tcPr>
            <w:tcW w:type="dxa" w:w="4320"/>
            <w:vAlign w:val="center"/>
          </w:tcPr>
          <w:p>
            <w:pPr>
              <w:pStyle w:val="rowNormal1"/>
            </w:pP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Ongoing Fees Subheader</w:t>
            </w:r>
          </w:p>
        </w:tc>
        <w:tc>
          <w:tcPr>
            <w:tcW w:type="dxa" w:w="4320"/>
            <w:vAlign w:val="center"/>
          </w:tcPr>
          <w:p>
            <w:pPr>
              <w:pStyle w:val="rowNormal1"/>
            </w:pP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Admin Fee (Floating)</w:t>
            </w:r>
          </w:p>
        </w:tc>
        <w:tc>
          <w:tcPr>
            <w:tcW w:type="dxa" w:w="4320"/>
            <w:vAlign w:val="center"/>
          </w:tcPr>
          <w:p>
            <w:pPr>
              <w:pStyle w:val="rowNormal1"/>
            </w:pPr>
            <w:r>
              <w:t>$624.00</w:t>
              <w:br/>
              <w:t>(0.48%)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Expense Recovery Fee (Flat)</w:t>
            </w:r>
          </w:p>
        </w:tc>
        <w:tc>
          <w:tcPr>
            <w:tcW w:type="dxa" w:w="4320"/>
            <w:vAlign w:val="center"/>
          </w:tcPr>
          <w:p>
            <w:pPr>
              <w:pStyle w:val="rowNormal1"/>
            </w:pPr>
            <w:r>
              <w:t>$65.00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ORR Levy</w:t>
            </w:r>
          </w:p>
        </w:tc>
        <w:tc>
          <w:tcPr>
            <w:tcW w:type="dxa" w:w="4320"/>
            <w:vAlign w:val="center"/>
          </w:tcPr>
          <w:p>
            <w:pPr>
              <w:pStyle w:val="rowNormal1"/>
            </w:pPr>
            <w:r>
              <w:t>$78.00</w:t>
              <w:br/>
              <w:t>(0.06%)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Fund Accounting Fee (Flat)</w:t>
            </w:r>
          </w:p>
        </w:tc>
        <w:tc>
          <w:tcPr>
            <w:tcW w:type="dxa" w:w="4320"/>
            <w:vAlign w:val="center"/>
          </w:tcPr>
          <w:p>
            <w:pPr>
              <w:pStyle w:val="rowNormal1"/>
            </w:pPr>
            <w:r>
              <w:t>$144.00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Investment Fee</w:t>
            </w:r>
          </w:p>
        </w:tc>
        <w:tc>
          <w:tcPr>
            <w:tcW w:type="dxa" w:w="4320"/>
            <w:vAlign w:val="center"/>
          </w:tcPr>
          <w:p>
            <w:pPr>
              <w:pStyle w:val="rowNormal1"/>
            </w:pPr>
            <w:r>
              <w:t>$1,050.00</w:t>
              <w:br/>
              <w:t>(0.81%)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Subtotal</w:t>
            </w:r>
          </w:p>
        </w:tc>
        <w:tc>
          <w:tcPr>
            <w:tcW w:type="dxa" w:w="4320"/>
            <w:vAlign w:val="center"/>
          </w:tcPr>
          <w:p>
            <w:pPr>
              <w:pStyle w:val="rowNormal1"/>
            </w:pPr>
            <w:r>
              <w:t>$1,961.00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Total</w:t>
            </w:r>
          </w:p>
        </w:tc>
        <w:tc>
          <w:tcPr>
            <w:tcW w:type="dxa" w:w="4320"/>
            <w:vAlign w:val="center"/>
          </w:tcPr>
          <w:p>
            <w:pPr>
              <w:pStyle w:val="rowNormal1"/>
            </w:pPr>
            <w:r>
              <w:t>$1,961.00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Aggregated Total</w:t>
            </w:r>
          </w:p>
        </w:tc>
        <w:tc>
          <w:tcPr>
            <w:tcW w:type="dxa" w:w="4320"/>
            <w:vAlign w:val="center"/>
          </w:tcPr>
          <w:p>
            <w:pPr>
              <w:pStyle w:val="rowNormal1"/>
            </w:pPr>
            <w:r>
              <w:t>$1,961.00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AA Summary</w:t>
            </w:r>
          </w:p>
        </w:tc>
        <w:tc>
          <w:tcPr>
            <w:tcW w:type="dxa" w:w="4320"/>
            <w:vAlign w:val="center"/>
          </w:tcPr>
          <w:p>
            <w:pPr>
              <w:pStyle w:val="rowNormal1"/>
            </w:pP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2160"/>
        <w:gridCol w:w="2160"/>
        <w:gridCol w:w="2160"/>
      </w:tblGrid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Status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Current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Risk Profile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Variance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Defensive Subheader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Cash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9.23%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9.23%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Australian Fixed Interest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International Fixed Interest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Defensive Subtotal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9.23%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9.23%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Growth Subheader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Australian Equities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63.85%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50.00%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13.85%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International Equities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26.92%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50.00%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-23.08%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Australian Listed Property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International Listed Property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Direct Property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Growth Subtotal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90.77%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100.00%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-9.23%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Alternative Subheader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Alternatives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Alternative Subtotal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Total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100.00%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100.00%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100.00%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41986" cy="28490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1986" cy="2849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2160"/>
        <w:gridCol w:w="2160"/>
        <w:gridCol w:w="2160"/>
      </w:tblGrid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Status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Recommended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Risk Profile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Variance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Defensive Subheader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Cash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Australian Fixed Interest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International Fixed Interest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Defensive Subtotal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Growth Subheader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Australian Equities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50.00%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-50.00%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International Equities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50.00%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-50.00%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Australian Listed Property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International Listed Property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Direct Property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Growth Subtotal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100.00%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-100.00%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Alternative Subheader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Alternatives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Alternative Subtotal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Total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100.00%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100.00%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100.00%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41986" cy="284900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1986" cy="2849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1728"/>
        <w:gridCol w:w="1728"/>
        <w:gridCol w:w="1728"/>
        <w:gridCol w:w="1728"/>
      </w:tblGrid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Status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Current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Risk Profile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Recommended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Variance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Defensive Subheader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Cash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9.23%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Australian Fixed Interest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International Fixed Interest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Defensive Subtotal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9.23%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Growth Subheader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Australian Equities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63.85%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50.00%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-50.00%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International Equities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26.92%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50.00%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-50.00%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Australian Listed Property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International Listed Property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Direct Property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Growth Subtotal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90.77%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100.00%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-100.00%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Alternative Subheader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Alternatives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Alternative Subtotal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Total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100.00%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100.00%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100.00%</w:t>
            </w:r>
          </w:p>
        </w:tc>
        <w:tc>
          <w:tcPr>
            <w:tcW w:type="dxa" w:w="1728"/>
            <w:vAlign w:val="center"/>
          </w:tcPr>
          <w:p>
            <w:pPr>
              <w:pStyle w:val="rowNormal1"/>
            </w:pPr>
            <w:r>
              <w:t>0.00%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41986" cy="284900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1986" cy="2849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2160"/>
        <w:gridCol w:w="2160"/>
        <w:gridCol w:w="2160"/>
      </w:tblGrid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Status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Current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Recommended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Variance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Defensive Subheader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Cash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9.23%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-9.23%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Australian Fixed Interest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International Fixed Interest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Defensive Subtotal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9.23%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-9.23%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Growth Subheader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Australian Equities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63.85%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-63.85%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International Equities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26.92%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-26.92%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Australian Listed Property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International Listed Property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Direct Property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Growth Subtotal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90.77%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-90.77%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Alternative Subheader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Alternatives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Alternative Subtotal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vAlign w:val="center"/>
          </w:tcPr>
          <w:p>
            <w:pPr>
              <w:pStyle w:val="rowNormal1"/>
              <w:jc w:val="left"/>
            </w:pPr>
            <w:r>
              <w:t>Total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100.00%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100.00%</w:t>
            </w:r>
          </w:p>
        </w:tc>
        <w:tc>
          <w:tcPr>
            <w:tcW w:type="dxa" w:w="2160"/>
            <w:vAlign w:val="center"/>
          </w:tcPr>
          <w:p>
            <w:pPr>
              <w:pStyle w:val="rowNormal1"/>
            </w:pPr>
            <w:r>
              <w:t>100.00%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41986" cy="284900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1986" cy="2849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rowHeader">
    <w:name w:val="rowHeader"/>
    <w:rPr>
      <w:rFonts w:ascii="Calibri" w:hAnsi="Calibri"/>
      <w:b w:val="0"/>
      <w:i w:val="0"/>
      <w:smallCaps w:val="0"/>
      <w:color w:val="000000"/>
      <w:sz w:val="22"/>
      <w:u w:val="none"/>
    </w:rPr>
  </w:style>
  <w:style w:type="paragraph" w:customStyle="1" w:styleId="rowSubheader1">
    <w:name w:val="rowSubheader1"/>
    <w:rPr>
      <w:rFonts w:ascii="Calibri" w:hAnsi="Calibri"/>
      <w:b w:val="0"/>
      <w:i w:val="0"/>
      <w:smallCaps w:val="0"/>
      <w:color w:val="000000"/>
      <w:sz w:val="22"/>
      <w:u w:val="none"/>
    </w:rPr>
  </w:style>
  <w:style w:type="paragraph" w:customStyle="1" w:styleId="rowSubheader2">
    <w:name w:val="rowSubheader2"/>
    <w:rPr>
      <w:rFonts w:ascii="Calibri" w:hAnsi="Calibri"/>
      <w:b w:val="0"/>
      <w:i w:val="0"/>
      <w:smallCaps w:val="0"/>
      <w:color w:val="000000"/>
      <w:sz w:val="22"/>
      <w:u w:val="none"/>
    </w:rPr>
  </w:style>
  <w:style w:type="paragraph" w:customStyle="1" w:styleId="rowSubtotal">
    <w:name w:val="rowSubtotal"/>
    <w:rPr>
      <w:rFonts w:ascii="Calibri" w:hAnsi="Calibri"/>
      <w:b w:val="0"/>
      <w:i w:val="0"/>
      <w:smallCaps w:val="0"/>
      <w:color w:val="000000"/>
      <w:sz w:val="22"/>
      <w:u w:val="none"/>
    </w:rPr>
  </w:style>
  <w:style w:type="paragraph" w:customStyle="1" w:styleId="rowNormal1">
    <w:name w:val="rowNormal1"/>
    <w:rPr>
      <w:rFonts w:ascii="Calibri" w:hAnsi="Calibri"/>
      <w:b w:val="0"/>
      <w:i w:val="0"/>
      <w:smallCaps w:val="0"/>
      <w:color w:val="000000"/>
      <w:sz w:val="22"/>
      <w:u w:val="none"/>
    </w:rPr>
  </w:style>
  <w:style w:type="paragraph" w:customStyle="1" w:styleId="rowNormal2">
    <w:name w:val="rowNormal2"/>
    <w:rPr>
      <w:rFonts w:ascii="Calibri" w:hAnsi="Calibri"/>
      <w:b w:val="0"/>
      <w:i w:val="0"/>
      <w:smallCaps w:val="0"/>
      <w:color w:val="000000"/>
      <w:sz w:val="22"/>
      <w:u w:val="none"/>
    </w:rPr>
  </w:style>
  <w:style w:type="paragraph" w:customStyle="1" w:styleId="rowTotal">
    <w:name w:val="rowTotal"/>
    <w:rPr>
      <w:rFonts w:ascii="Calibri" w:hAnsi="Calibri"/>
      <w:b w:val="0"/>
      <w:i w:val="0"/>
      <w:smallCaps w:val="0"/>
      <w:color w:val="000000"/>
      <w:sz w:val="22"/>
      <w:u w:val="none"/>
    </w:rPr>
  </w:style>
  <w:style w:type="table" w:customStyle="1" w:styleId="tableStyle">
    <w:name w:val="tableStyle"/>
    <w:pPr>
      <w:spacing w:line="240" w:lineRule="auto" w:after="0"/>
      <w:jc w:val="center"/>
    </w:pPr>
    <w:rPr>
      <w:rFonts w:ascii="Calibri" w:hAnsi="Calibri"/>
      <w:b w:val="0"/>
      <w:i w:val="0"/>
      <w:smallCaps w:val="0"/>
      <w:color w:val="000000"/>
      <w:sz w:val="22"/>
      <w:u w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