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Panorama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33.00%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three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7.00%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four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60.00%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Panorama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Wrap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$134,000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-$101,000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32.89%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three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6.98%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four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$59,667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59.80%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8 - MANAGED ACC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0.33%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two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-$20,000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$101,000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-$101,000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1.20%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Wrap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$256,110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-$155,777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$100,333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MyNorth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38.46%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15.38%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two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46.15%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MyNorth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$65,000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$65,000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$256,110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-$90,777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$165,333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$122,165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$78,000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$47,777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Buy/Sell Fees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$120.00</w:t>
              <w:br/>
              <w:t>(0.12%)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One-off 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$120.00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</w:tr>
      <w:tr>
        <w:tc>
          <w:tcPr>
            <w:tcW w:type="dxa" w:w="9672"/>
            <w:gridSpan w:val="7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Sliding Admin Fee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$54.00</w:t>
              <w:br/>
              <w:t>(0.04%)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$480.00</w:t>
              <w:br/>
              <w:t>(0.48%)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$610.82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$664.82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$980.00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$501.66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$390.00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$71.67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  <w:br/>
              <w:t>(0.54%)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$980.00</w:t>
              <w:br/>
              <w:t>(0.98%)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</w:r>
          </w:p>
        </w:tc>
        <w:tc>
          <w:tcPr>
            <w:tcW w:type="dxa" w:w="3702"/>
            <w:gridSpan w:val="3"/>
            <w:shd w:fill=""/>
            <w:vAlign w:val="center"/>
          </w:tcPr>
          <w:p>
            <w:pPr>
              <w:pStyle w:val="rowTotal"/>
            </w:pPr>
            <w:r>
              <w:t>$1,981.66</w:t>
            </w:r>
          </w:p>
        </w:tc>
        <w:tc>
          <w:tcPr>
            <w:tcW w:type="dxa" w:w="2468"/>
            <w:gridSpan w:val="2"/>
            <w:shd w:fill=""/>
            <w:vAlign w:val="center"/>
          </w:tcPr>
          <w:p>
            <w:pPr>
              <w:pStyle w:val="rowTotal"/>
            </w:pPr>
            <w:r>
              <w:t>$461.67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432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6588"/>
            <w:gridSpan w:val="2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$0.00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$122,165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$78,000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$47,777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Buy/Sell Fees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$120.00</w:t>
              <w:br/>
              <w:t>(0.12%)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One-off 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$120.00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</w:tr>
      <w:tr>
        <w:tc>
          <w:tcPr>
            <w:tcW w:type="dxa" w:w="9672"/>
            <w:gridSpan w:val="7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Sliding Admin Fee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$54.00</w:t>
              <w:br/>
              <w:t>(0.04%)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$480.00</w:t>
              <w:br/>
              <w:t>(0.48%)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$610.82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$664.82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$980.00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$501.66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$390.00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$71.67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  <w:br/>
              <w:t>(0.54%)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$980.00</w:t>
              <w:br/>
              <w:t>(0.98%)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</w:r>
          </w:p>
        </w:tc>
        <w:tc>
          <w:tcPr>
            <w:tcW w:type="dxa" w:w="3702"/>
            <w:gridSpan w:val="3"/>
            <w:shd w:fill=""/>
            <w:vAlign w:val="center"/>
          </w:tcPr>
          <w:p>
            <w:pPr>
              <w:pStyle w:val="rowTotal"/>
            </w:pPr>
            <w:r>
              <w:t>$1,981.66</w:t>
            </w:r>
          </w:p>
        </w:tc>
        <w:tc>
          <w:tcPr>
            <w:tcW w:type="dxa" w:w="2468"/>
            <w:gridSpan w:val="2"/>
            <w:shd w:fill=""/>
            <w:vAlign w:val="center"/>
          </w:tcPr>
          <w:p>
            <w:pPr>
              <w:pStyle w:val="rowTotal"/>
            </w:pPr>
            <w:r>
              <w:t>$461.67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432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6588"/>
            <w:gridSpan w:val="2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$0.00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$122,165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$78,000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$47,777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Buy/Sell Fees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$120.00</w:t>
              <w:br/>
              <w:t>(0.12%)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One-off 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$120.00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</w:tr>
      <w:tr>
        <w:tc>
          <w:tcPr>
            <w:tcW w:type="dxa" w:w="9672"/>
            <w:gridSpan w:val="7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Sliding Admin Fee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$54.00</w:t>
              <w:br/>
              <w:t>(0.04%)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$480.00</w:t>
              <w:br/>
              <w:t>(0.48%)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$610.82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$664.82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$980.00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$501.66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$390.00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$71.67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  <w:br/>
              <w:t>(0.54%)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$980.00</w:t>
              <w:br/>
              <w:t>(0.98%)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</w:r>
          </w:p>
        </w:tc>
        <w:tc>
          <w:tcPr>
            <w:tcW w:type="dxa" w:w="3702"/>
            <w:gridSpan w:val="3"/>
            <w:shd w:fill=""/>
            <w:vAlign w:val="center"/>
          </w:tcPr>
          <w:p>
            <w:pPr>
              <w:pStyle w:val="rowTotal"/>
            </w:pPr>
            <w:r>
              <w:t>$1,981.66</w:t>
            </w:r>
          </w:p>
        </w:tc>
        <w:tc>
          <w:tcPr>
            <w:tcW w:type="dxa" w:w="2468"/>
            <w:gridSpan w:val="2"/>
            <w:shd w:fill=""/>
            <w:vAlign w:val="center"/>
          </w:tcPr>
          <w:p>
            <w:pPr>
              <w:pStyle w:val="rowTotal"/>
            </w:pPr>
            <w:r>
              <w:t>$461.67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432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6588"/>
            <w:gridSpan w:val="2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$0.00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-48.87%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3.54%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-45.46%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54.78%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3.78%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41.68%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40.68%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96.46%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44.46%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-26.61%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52.31%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3.31%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28.08%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-22.92%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19.48%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18.48%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47.56%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-4.44%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728"/>
        <w:gridCol w:w="1728"/>
        <w:gridCol w:w="1728"/>
        <w:gridCol w:w="1728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-26.61%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3.54%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52.31%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3.31%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54.78%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28.08%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-22.92%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41.68%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19.48%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18.48%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96.46%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47.56%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-4.44%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4.26%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22.25%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22.25%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3.54%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52.31%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48.77%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54.78%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28.08%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-26.70%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41.68%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19.48%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-22.20%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96.46%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47.56%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-48.89%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owNormal1">
    <w:name w:val="rowNormal1"/>
    <w:rPr>
      <w:rFonts w:ascii="Calibri" w:hAnsi="Calibri"/>
      <w:b w:val="0"/>
      <w:i w:val="0"/>
      <w:smallCaps w:val="0"/>
      <w:color w:val="585858"/>
      <w:sz w:val="279400"/>
      <w:u w:val="none"/>
    </w:rPr>
  </w:style>
  <w:style w:type="paragraph" w:customStyle="1" w:styleId="rowSubheader1">
    <w:name w:val="rowSubheader1"/>
    <w:rPr>
      <w:rFonts w:ascii="Calibri" w:hAnsi="Calibri"/>
      <w:b w:val="0"/>
      <w:i w:val="0"/>
      <w:smallCaps w:val="0"/>
      <w:color w:val="585858"/>
      <w:sz w:val="279400"/>
      <w:u w:val="none"/>
    </w:rPr>
  </w:style>
  <w:style w:type="paragraph" w:customStyle="1" w:styleId="rowNormal2">
    <w:name w:val="rowNormal2"/>
    <w:rPr>
      <w:rFonts w:ascii="Calibri" w:hAnsi="Calibri"/>
      <w:b w:val="0"/>
      <w:i w:val="0"/>
      <w:smallCaps w:val="0"/>
      <w:color w:val="585858"/>
      <w:sz w:val="279400"/>
      <w:u w:val="none"/>
    </w:rPr>
  </w:style>
  <w:style w:type="paragraph" w:customStyle="1" w:styleId="rowTotal">
    <w:name w:val="rowTotal"/>
    <w:rPr>
      <w:rFonts w:ascii="Calibri" w:hAnsi="Calibri"/>
      <w:b/>
      <w:i w:val="0"/>
      <w:smallCaps w:val="0"/>
      <w:color w:val="585858"/>
      <w:sz w:val="279400"/>
      <w:u w:val="none"/>
    </w:rPr>
  </w:style>
  <w:style w:type="paragraph" w:customStyle="1" w:styleId="rowSubtotal">
    <w:name w:val="rowSubtotal"/>
    <w:rPr>
      <w:rFonts w:ascii="Calibri" w:hAnsi="Calibri"/>
      <w:b/>
      <w:i w:val="0"/>
      <w:smallCaps w:val="0"/>
      <w:color w:val="585858"/>
      <w:sz w:val="279400"/>
      <w:u w:val="none"/>
    </w:rPr>
  </w:style>
  <w:style w:type="paragraph" w:customStyle="1" w:styleId="rowSubheader2">
    <w:name w:val="rowSubheader2"/>
    <w:rPr>
      <w:rFonts w:ascii="Calibri" w:hAnsi="Calibri"/>
      <w:b/>
      <w:i w:val="0"/>
      <w:smallCaps w:val="0"/>
      <w:color w:val="585858"/>
      <w:sz w:val="279400"/>
      <w:u w:val="none"/>
    </w:rPr>
  </w:style>
  <w:style w:type="paragraph" w:customStyle="1" w:styleId="rowHeader">
    <w:name w:val="rowHeader"/>
    <w:rPr>
      <w:rFonts w:ascii="Calibri" w:hAnsi="Calibri"/>
      <w:b/>
      <w:i w:val="0"/>
      <w:smallCaps w:val="0"/>
      <w:color w:val="034EA2"/>
      <w:sz w:val="279400"/>
      <w:u w:val="none"/>
    </w:rPr>
  </w:style>
  <w:style w:type="table" w:customStyle="1" w:styleId="tableStyle">
    <w:name w:val="tableStyle"/>
    <w:pPr>
      <w:spacing w:line="240" w:lineRule="auto" w:after="0"/>
      <w:jc w:val="center"/>
    </w:pPr>
    <w:rPr>
      <w:rFonts w:ascii="Calibri" w:hAnsi="Calibri"/>
      <w:b w:val="0"/>
      <w:i w:val="0"/>
      <w:smallCaps w:val="0"/>
      <w:color w:val="585858"/>
      <w:sz w:val="279400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