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33.00%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7.00%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Wrap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$134,000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32.89%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6.98%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$59,667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59.80%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8 - MANAGED ACC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0.33%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1.20%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Wrap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$256,110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-$155,777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MyNorth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38.46%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15.38%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46.15%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MyNorth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$256,110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-$90,777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$165,333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-48.87%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-45.46%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3.78%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40.68%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44.46%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-26.61%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3.31%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18.48%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-4.44%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-26.61%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3.31%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-22.92%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18.48%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-4.44%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4.26%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48.77%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-26.70%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-22.20%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-48.89%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585858"/>
      <w:sz w:val="279400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585858"/>
      <w:sz w:val="279400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585858"/>
      <w:sz w:val="279400"/>
      <w:u w:val="none"/>
    </w:rPr>
  </w:style>
  <w:style w:type="paragraph" w:customStyle="1" w:styleId="rowTotal">
    <w:name w:val="rowTotal"/>
    <w:rPr>
      <w:rFonts w:ascii="Calibri" w:hAnsi="Calibri"/>
      <w:b/>
      <w:i w:val="0"/>
      <w:smallCaps w:val="0"/>
      <w:color w:val="585858"/>
      <w:sz w:val="279400"/>
      <w:u w:val="none"/>
    </w:rPr>
  </w:style>
  <w:style w:type="paragraph" w:customStyle="1" w:styleId="rowSubtotal">
    <w:name w:val="rowSubtotal"/>
    <w:rPr>
      <w:rFonts w:ascii="Calibri" w:hAnsi="Calibri"/>
      <w:b/>
      <w:i w:val="0"/>
      <w:smallCaps w:val="0"/>
      <w:color w:val="585858"/>
      <w:sz w:val="279400"/>
      <w:u w:val="none"/>
    </w:rPr>
  </w:style>
  <w:style w:type="paragraph" w:customStyle="1" w:styleId="rowSubheader2">
    <w:name w:val="rowSubheader2"/>
    <w:rPr>
      <w:rFonts w:ascii="Calibri" w:hAnsi="Calibri"/>
      <w:b/>
      <w:i w:val="0"/>
      <w:smallCaps w:val="0"/>
      <w:color w:val="585858"/>
      <w:sz w:val="279400"/>
      <w:u w:val="none"/>
    </w:rPr>
  </w:style>
  <w:style w:type="paragraph" w:customStyle="1" w:styleId="rowHeader">
    <w:name w:val="rowHeader"/>
    <w:rPr>
      <w:rFonts w:ascii="Calibri" w:hAnsi="Calibri"/>
      <w:b/>
      <w:i w:val="0"/>
      <w:smallCaps w:val="0"/>
      <w:color w:val="034EA2"/>
      <w:sz w:val="304800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585858"/>
      <w:sz w:val="27940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