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2160"/>
        <w:gridCol w:w="2160"/>
        <w:gridCol w:w="2160"/>
      </w:tblGrid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Description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Change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Recommended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AustralianSuper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Conservative Balanced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$31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$31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High Growth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$11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$11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Conservative Balanced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$8,100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$8,100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Conservative Balanced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$51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$51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AustralianSuper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$8,193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$8,193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BT Wrap Open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$100,000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$67,676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$67,676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$66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$66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BT Wrap Open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$167,742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$167,742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$8,193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$175,935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$167,742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880"/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880"/>
            <w:vAlign w:val="center"/>
          </w:tcPr>
          <w:p>
            <w:pPr>
              <w:pStyle w:val="rowHeader"/>
            </w:pPr>
            <w:r>
              <w:t>Recommended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Product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AustralianSuper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BT Wrap Open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$8,193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$167,742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Investments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Conservative Balanced, High Growth, Conservative Balanced, Conservative Balanced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Investment number four, INVESTMENT 8 - MANAGED ACC, INVESTMENT 8 - MANAGED ACC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One-off Fees Subheader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Ongoing Fees Subheader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Investment Fee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$35.25</w:t>
              <w:br/>
              <w:t>(0.43%)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$3,000.00</w:t>
              <w:br/>
              <w:t>(1.79%)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Sliding Admin Fee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$251.61</w:t>
              <w:br/>
              <w:t>(0.15%)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Admin Fee (Flat)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$117.00</w:t>
              <w:br/>
              <w:t>(1.43%)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$120.22</w:t>
              <w:br/>
              <w:t>(0.07%)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Expense Recovery Fee (Flat)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$80.00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Subtotal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$152.25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$3,451.83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$152.25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$3,451.83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Aggregated Total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$152.25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$3,451.83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AA Summary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Recommended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Product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AustralianSuper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BT Wrap Open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$167,742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$167,742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Investments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Conservative Balanced, High Growth, Conservative Balanced, Conservative Balanced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Investment number four, INVESTMENT 8 - MANAGED ACC, INVESTMENT 8 - MANAGED ACC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One-off Fees Subheader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Ongoing Fees Subheader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Investment Fee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$721.74</w:t>
              <w:br/>
              <w:t>(0.43%)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$3,000.00</w:t>
              <w:br/>
              <w:t>(1.79%)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Sliding Admin Fee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$251.61</w:t>
              <w:br/>
              <w:t>(0.15%)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Admin Fee (Flat)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$2,395.44</w:t>
              <w:br/>
              <w:t>(1.43%)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$120.22</w:t>
              <w:br/>
              <w:t>(0.07%)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Expense Recovery Fee (Flat)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$80.00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Subtotal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$152.25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$3,451.83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$152.25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$3,451.83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Aggregated Total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$152.25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  <w:r>
              <w:t>$3,451.83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AA Summary</w:t>
            </w: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  <w:tc>
          <w:tcPr>
            <w:tcW w:type="dxa" w:w="2880"/>
            <w:vAlign w:val="center"/>
          </w:tcPr>
          <w:p>
            <w:pPr>
              <w:pStyle w:val="rowNormal1"/>
            </w:pP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Risk Profile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6.00%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12.00%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-12.00%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26.00%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-26.00%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22.00%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-22.00%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-33.00%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11.00%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-11.00%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66.00%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-66.00%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Recommended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Risk Profile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6.00%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12.00%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-12.00%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26.00%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-26.00%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22.00%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-22.00%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-33.00%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11.00%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-11.00%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66.00%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-66.00%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Risk Profile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Recommended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6.00%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12.00%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-12.00%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26.00%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-26.00%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22.00%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-22.00%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-33.00%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Property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11.00%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-11.00%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66.00%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-66.00%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8.00%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-8.00%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Recommended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617028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Header">
    <w:name w:val="rowHeader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2">
    <w:name w:val="rowSubheader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total">
    <w:name w:val="rowSub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Total">
    <w:name w:val="row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