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rFonts w:ascii="Arial" w:cs="Arial" w:eastAsia="Arial" w:hAnsi="Arial"/>
          <w:b w:val="false"/>
          <w:bCs w:val="false"/>
          <w:i w:val="false"/>
          <w:iCs w:val="false"/>
          <w:color w:val="000000"/>
          <w:sz w:val="72"/>
          <w:szCs w:val="72"/>
        </w:rPr>
        <w:t xml:space="preserve"/>
      </w:r>
    </w:p>
    <w:p>
      <w:pPr>
        <w:spacing w:after="60" w:before="60"/>
      </w:pPr>
      <w:r>
        <w:rPr>
          <w:rFonts w:ascii="Arial" w:cs="Arial" w:eastAsia="Arial" w:hAnsi="Arial"/>
          <w:b w:val="false"/>
          <w:bCs w:val="false"/>
          <w:i w:val="false"/>
          <w:iCs w:val="false"/>
          <w:color w:val="000000"/>
          <w:sz w:val="72"/>
          <w:szCs w:val="72"/>
        </w:rPr>
        <w:t xml:space="preserve"/>
      </w:r>
    </w:p>
    <w:p>
      <w:pPr>
        <w:spacing w:after="60" w:before="60"/>
      </w:pPr>
      <w:r>
        <w:rPr>
          <w:rFonts w:ascii="Arial" w:cs="Arial" w:eastAsia="Arial" w:hAnsi="Arial"/>
          <w:b w:val="false"/>
          <w:bCs w:val="false"/>
          <w:i w:val="false"/>
          <w:iCs w:val="false"/>
          <w:color w:val="000000"/>
          <w:sz w:val="72"/>
          <w:szCs w:val="72"/>
        </w:rPr>
        <w:t xml:space="preserve"/>
      </w:r>
    </w:p>
    <w:p>
      <w:pPr>
        <w:spacing w:after="120" w:before="0"/>
        <w:jc w:val="center"/>
      </w:pPr>
      <w:r>
        <w:rPr>
          <w:rFonts w:ascii="Arial" w:cs="Arial" w:eastAsia="Arial" w:hAnsi="Arial"/>
          <w:b/>
          <w:bCs/>
          <w:color w:val="1F3864"/>
          <w:sz w:val="48"/>
          <w:szCs w:val="48"/>
        </w:rPr>
        <w:t xml:space="preserve">STUDI KAJIAN</w:t>
      </w:r>
    </w:p>
    <w:p>
      <w:pPr>
        <w:spacing w:after="120" w:before="0"/>
        <w:jc w:val="center"/>
      </w:pPr>
      <w:r>
        <w:rPr>
          <w:rFonts w:ascii="Arial" w:cs="Arial" w:eastAsia="Arial" w:hAnsi="Arial"/>
          <w:b/>
          <w:bCs/>
          <w:color w:val="1F3864"/>
          <w:sz w:val="36"/>
          <w:szCs w:val="36"/>
        </w:rPr>
        <w:t xml:space="preserve">PENENTUAN LOKASI SUB-WO (BOTTLING LNG)</w:t>
      </w:r>
    </w:p>
    <w:p>
      <w:pPr>
        <w:pBdr>
          <w:bottom w:val="single" w:color="2E75B6" w:sz="12" w:space="8"/>
        </w:pBdr>
        <w:spacing w:after="360" w:before="0"/>
        <w:jc w:val="center"/>
      </w:pPr>
      <w:r>
        <w:rPr>
          <w:rFonts w:ascii="Arial" w:cs="Arial" w:eastAsia="Arial" w:hAnsi="Arial"/>
          <w:b/>
          <w:bCs/>
          <w:color w:val="1F3864"/>
          <w:sz w:val="36"/>
          <w:szCs w:val="36"/>
        </w:rPr>
        <w:t xml:space="preserve">DI WILAYAH ACEH</w:t>
      </w:r>
    </w:p>
    <w:p>
      <w:pPr>
        <w:spacing w:after="60" w:before="60"/>
      </w:pPr>
      <w:r>
        <w:rPr>
          <w:rFonts w:ascii="Arial" w:cs="Arial" w:eastAsia="Arial" w:hAnsi="Arial"/>
          <w:b w:val="false"/>
          <w:bCs w:val="false"/>
          <w:i w:val="false"/>
          <w:iCs w:val="false"/>
          <w:color w:val="000000"/>
          <w:sz w:val="48"/>
          <w:szCs w:val="48"/>
        </w:rPr>
        <w:t xml:space="preserve"/>
      </w:r>
    </w:p>
    <w:p>
      <w:pPr>
        <w:spacing w:after="80" w:before="0"/>
        <w:jc w:val="center"/>
      </w:pPr>
      <w:r>
        <w:rPr>
          <w:rFonts w:ascii="Arial" w:cs="Arial" w:eastAsia="Arial" w:hAnsi="Arial"/>
          <w:b/>
          <w:bCs/>
          <w:color w:val="2E75B6"/>
          <w:sz w:val="28"/>
          <w:szCs w:val="28"/>
        </w:rPr>
        <w:t xml:space="preserve">PT Perta Arun Gas</w:t>
      </w:r>
    </w:p>
    <w:p>
      <w:pPr>
        <w:spacing w:after="80" w:before="0"/>
        <w:jc w:val="center"/>
      </w:pPr>
      <w:r>
        <w:rPr>
          <w:rFonts w:ascii="Arial" w:cs="Arial" w:eastAsia="Arial" w:hAnsi="Arial"/>
          <w:color w:val="555555"/>
          <w:sz w:val="22"/>
          <w:szCs w:val="22"/>
        </w:rPr>
        <w:t xml:space="preserve">LNG Distribution Network Optimization Study</w:t>
      </w:r>
    </w:p>
    <w:p>
      <w:pPr>
        <w:spacing w:after="480" w:before="0"/>
        <w:jc w:val="center"/>
      </w:pPr>
      <w:r>
        <w:rPr>
          <w:rFonts w:ascii="Arial" w:cs="Arial" w:eastAsia="Arial" w:hAnsi="Arial"/>
          <w:color w:val="555555"/>
          <w:sz w:val="22"/>
          <w:szCs w:val="22"/>
        </w:rPr>
        <w:t xml:space="preserve">2024</w:t>
      </w:r>
    </w:p>
    <w:p>
      <w:pPr>
        <w:spacing w:after="60" w:before="60"/>
      </w:pPr>
      <w:r>
        <w:rPr>
          <w:rFonts w:ascii="Arial" w:cs="Arial" w:eastAsia="Arial" w:hAnsi="Arial"/>
          <w:b w:val="false"/>
          <w:bCs w:val="false"/>
          <w:i w:val="false"/>
          <w:iCs w:val="false"/>
          <w:color w:val="000000"/>
          <w:sz w:val="48"/>
          <w:szCs w:val="48"/>
        </w:rPr>
        <w:t xml:space="preserve"/>
      </w:r>
    </w:p>
    <w:p>
      <w:pPr>
        <w:spacing w:after="60" w:before="60"/>
      </w:pPr>
      <w:r>
        <w:rPr>
          <w:rFonts w:ascii="Arial" w:cs="Arial" w:eastAsia="Arial" w:hAnsi="Arial"/>
          <w:b w:val="false"/>
          <w:bCs w:val="false"/>
          <w:i w:val="false"/>
          <w:iCs w:val="false"/>
          <w:color w:val="000000"/>
          <w:sz w:val="48"/>
          <w:szCs w:val="48"/>
        </w:rPr>
        <w:t xml:space="preserve"/>
      </w:r>
    </w:p>
    <w:p>
      <w:pPr>
        <w:spacing w:after="40" w:before="0"/>
        <w:jc w:val="center"/>
      </w:pPr>
      <w:r>
        <w:rPr>
          <w:rFonts w:ascii="Arial" w:cs="Arial" w:eastAsia="Arial" w:hAnsi="Arial"/>
          <w:color w:val="888888"/>
          <w:sz w:val="18"/>
          <w:szCs w:val="18"/>
        </w:rPr>
        <w:t xml:space="preserve">Metodologi: Weighted Location Scoring (WLS) | Spatial &amp; Logistic Analysis</w:t>
      </w:r>
    </w:p>
    <w:p>
      <w:r>
        <w:br w:type="page"/>
      </w:r>
    </w:p>
    <w:p>
      <w:pPr>
        <w:pStyle w:val="Heading1"/>
        <w:pBdr>
          <w:bottom w:val="single" w:color="2E75B6" w:sz="8" w:space="4"/>
        </w:pBdr>
        <w:spacing w:after="120" w:before="280"/>
      </w:pPr>
      <w:r>
        <w:rPr>
          <w:rFonts w:ascii="Arial" w:cs="Arial" w:eastAsia="Arial" w:hAnsi="Arial"/>
          <w:b/>
          <w:bCs/>
          <w:color w:val="1F3864"/>
          <w:sz w:val="28"/>
          <w:szCs w:val="28"/>
        </w:rPr>
        <w:t xml:space="preserve">1. LATAR BELAKANG</w:t>
      </w:r>
    </w:p>
    <w:p>
      <w:pPr>
        <w:spacing w:after="80" w:before="40"/>
        <w:jc w:val="both"/>
      </w:pPr>
      <w:r>
        <w:rPr>
          <w:rFonts w:ascii="Arial" w:cs="Arial" w:eastAsia="Arial" w:hAnsi="Arial"/>
          <w:sz w:val="20"/>
          <w:szCs w:val="20"/>
        </w:rPr>
        <w:t xml:space="preserve">Kebutuhan gas bumi dalam kemasan (LNG-VGL) di wilayah Aceh terus meningkat seiring pertumbuhan sektor industri, komersial, dan rumah tangga. Saat ini, distribusi LNG dilayani secara terpusat dari Wilayah Operasi (WO) Utama di Banda Aceh, yang menerima pasokan dari LNG Filling Station PT Perta Arun Gas di Lhokseumawe (Kab. Aceh Utara).</w:t>
      </w:r>
    </w:p>
    <w:p>
      <w:pPr>
        <w:spacing w:after="80" w:before="40"/>
        <w:jc w:val="both"/>
      </w:pPr>
      <w:r>
        <w:rPr>
          <w:rFonts w:ascii="Arial" w:cs="Arial" w:eastAsia="Arial" w:hAnsi="Arial"/>
          <w:sz w:val="20"/>
          <w:szCs w:val="20"/>
        </w:rPr>
        <w:t xml:space="preserve">Pola distribusi terpusat ini menimbulkan beberapa keterbatasan: (a) waktu pengiriman ke pelanggan di wilayah Bireuen, Lhokseumawe, dan Pidie menjadi panjang karena harus melalui Banda Aceh; (b) biaya distribusi meningkat karena jarak tempuh yang tidak efisien; (c) kemampuan respons terhadap lonjakan permintaan lokal terbatas.</w:t>
      </w:r>
    </w:p>
    <w:p>
      <w:pPr>
        <w:spacing w:after="80" w:before="40"/>
        <w:jc w:val="both"/>
      </w:pPr>
      <w:r>
        <w:rPr>
          <w:rFonts w:ascii="Arial" w:cs="Arial" w:eastAsia="Arial" w:hAnsi="Arial"/>
          <w:sz w:val="20"/>
          <w:szCs w:val="20"/>
        </w:rPr>
        <w:t xml:space="preserve">Sebagai solusi, direncanakan pembangunan 3 (tiga) Sub-Wilayah Operasi (Sub-WO) baru yang berfungsi sebagai titik bottling LNG di wilayah-wilayah strategis: Lhokseumawe, Bireuen, dan Sigli (Kab. Pidie). Sub-WO bertugas menerima LNG dalam isotank dari Arun, melakukan pengisian ke VGL, dan mendistribusikan ke pelanggan di wilayah sekitar. Studi kajian ini bertujuan menentukan lokasi optimal untuk setiap Sub-WO.</w:t>
      </w:r>
    </w:p>
    <w:p>
      <w:pPr>
        <w:pStyle w:val="Heading2"/>
        <w:spacing w:after="80" w:before="200"/>
      </w:pPr>
      <w:r>
        <w:rPr>
          <w:rFonts w:ascii="Arial" w:cs="Arial" w:eastAsia="Arial" w:hAnsi="Arial"/>
          <w:b/>
          <w:bCs/>
          <w:color w:val="2E75B6"/>
          <w:sz w:val="24"/>
          <w:szCs w:val="24"/>
        </w:rPr>
        <w:t xml:space="preserve">1.1 Sumber Pasokan LNG</w:t>
      </w:r>
    </w:p>
    <w:p>
      <w:pPr>
        <w:pStyle w:val="ListParagraph"/>
        <w:numPr>
          <w:ilvl w:val="0"/>
          <w:numId w:val="2"/>
        </w:numPr>
        <w:spacing w:after="40" w:before="40"/>
      </w:pPr>
      <w:r>
        <w:rPr>
          <w:rFonts w:ascii="Arial" w:cs="Arial" w:eastAsia="Arial" w:hAnsi="Arial"/>
          <w:sz w:val="20"/>
          <w:szCs w:val="20"/>
        </w:rPr>
        <w:t xml:space="preserve">Nama Fasilitas: LNG Filling Station PT Perta Arun Gas</w:t>
      </w:r>
    </w:p>
    <w:p>
      <w:pPr>
        <w:pStyle w:val="ListParagraph"/>
        <w:numPr>
          <w:ilvl w:val="0"/>
          <w:numId w:val="2"/>
        </w:numPr>
        <w:spacing w:after="40" w:before="40"/>
      </w:pPr>
      <w:r>
        <w:rPr>
          <w:rFonts w:ascii="Arial" w:cs="Arial" w:eastAsia="Arial" w:hAnsi="Arial"/>
          <w:sz w:val="20"/>
          <w:szCs w:val="20"/>
        </w:rPr>
        <w:t xml:space="preserve">Koordinat: 5.222558, 97.087290</w:t>
      </w:r>
    </w:p>
    <w:p>
      <w:pPr>
        <w:pStyle w:val="ListParagraph"/>
        <w:numPr>
          <w:ilvl w:val="0"/>
          <w:numId w:val="2"/>
        </w:numPr>
        <w:spacing w:after="40" w:before="40"/>
      </w:pPr>
      <w:r>
        <w:rPr>
          <w:rFonts w:ascii="Arial" w:cs="Arial" w:eastAsia="Arial" w:hAnsi="Arial"/>
          <w:sz w:val="20"/>
          <w:szCs w:val="20"/>
        </w:rPr>
        <w:t xml:space="preserve">Lokasi: Kecamatan Muara Dua, Kab. Aceh Utara, Provinsi Aceh</w:t>
      </w:r>
    </w:p>
    <w:p>
      <w:pPr>
        <w:pStyle w:val="ListParagraph"/>
        <w:numPr>
          <w:ilvl w:val="0"/>
          <w:numId w:val="2"/>
        </w:numPr>
        <w:spacing w:after="40" w:before="40"/>
      </w:pPr>
      <w:r>
        <w:rPr>
          <w:rFonts w:ascii="Arial" w:cs="Arial" w:eastAsia="Arial" w:hAnsi="Arial"/>
          <w:sz w:val="20"/>
          <w:szCs w:val="20"/>
        </w:rPr>
        <w:t xml:space="preserve">Moda distribusi: Truk isotank (road tanker)</w:t>
      </w:r>
    </w:p>
    <w:p>
      <w:pPr>
        <w:pStyle w:val="Heading2"/>
        <w:spacing w:after="80" w:before="200"/>
      </w:pPr>
      <w:r>
        <w:rPr>
          <w:rFonts w:ascii="Arial" w:cs="Arial" w:eastAsia="Arial" w:hAnsi="Arial"/>
          <w:b/>
          <w:bCs/>
          <w:color w:val="2E75B6"/>
          <w:sz w:val="24"/>
          <w:szCs w:val="24"/>
        </w:rPr>
        <w:t xml:space="preserve">1.2 Infrastruktur Jalan yang Relevan</w:t>
      </w:r>
    </w:p>
    <w:p>
      <w:pPr>
        <w:pStyle w:val="ListParagraph"/>
        <w:numPr>
          <w:ilvl w:val="0"/>
          <w:numId w:val="2"/>
        </w:numPr>
        <w:spacing w:after="40" w:before="40"/>
      </w:pPr>
      <w:r>
        <w:rPr>
          <w:rFonts w:ascii="Arial" w:cs="Arial" w:eastAsia="Arial" w:hAnsi="Arial"/>
          <w:sz w:val="20"/>
          <w:szCs w:val="20"/>
        </w:rPr>
        <w:t xml:space="preserve">Jalan Nasional Lintas Timur Sumatera – menghubungkan Banda Aceh, Sigli, Bireuen, Lhokseumawe</w:t>
      </w:r>
    </w:p>
    <w:p>
      <w:pPr>
        <w:pStyle w:val="ListParagraph"/>
        <w:numPr>
          <w:ilvl w:val="0"/>
          <w:numId w:val="2"/>
        </w:numPr>
        <w:spacing w:after="40" w:before="40"/>
      </w:pPr>
      <w:r>
        <w:rPr>
          <w:rFonts w:ascii="Arial" w:cs="Arial" w:eastAsia="Arial" w:hAnsi="Arial"/>
          <w:sz w:val="20"/>
          <w:szCs w:val="20"/>
        </w:rPr>
        <w:t xml:space="preserve">Tol Sigli–Banda Aceh (74 km, 6 seksi) – progress &gt;96%, tersambung penuh 2025; memberikan efisiensi signifikan untuk distribusi ke Sigli</w:t>
      </w:r>
    </w:p>
    <w:p>
      <w:pPr>
        <w:pStyle w:val="ListParagraph"/>
        <w:numPr>
          <w:ilvl w:val="0"/>
          <w:numId w:val="2"/>
        </w:numPr>
        <w:spacing w:after="40" w:before="40"/>
      </w:pPr>
      <w:r>
        <w:rPr>
          <w:rFonts w:ascii="Arial" w:cs="Arial" w:eastAsia="Arial" w:hAnsi="Arial"/>
          <w:sz w:val="20"/>
          <w:szCs w:val="20"/>
        </w:rPr>
        <w:t xml:space="preserve">Jalan Bireuen–Takengon – dilebarkan PUPR 2021 menjadi 2 lajur; membuka distribusi ke Aceh Tengah &amp; Bener Meriah</w:t>
      </w:r>
    </w:p>
    <w:p>
      <w:pPr>
        <w:pStyle w:val="ListParagraph"/>
        <w:numPr>
          <w:ilvl w:val="0"/>
          <w:numId w:val="2"/>
        </w:numPr>
        <w:spacing w:after="40" w:before="40"/>
      </w:pPr>
      <w:r>
        <w:rPr>
          <w:rFonts w:ascii="Arial" w:cs="Arial" w:eastAsia="Arial" w:hAnsi="Arial"/>
          <w:sz w:val="20"/>
          <w:szCs w:val="20"/>
        </w:rPr>
        <w:t xml:space="preserve">Tol Sigli–Lhokseumawe (157 km, dalam perencanaan) – potensi jangka menengah</w:t>
      </w:r>
    </w:p>
    <w:p>
      <w:r>
        <w:br w:type="page"/>
      </w:r>
    </w:p>
    <w:p>
      <w:pPr>
        <w:pStyle w:val="Heading1"/>
        <w:pBdr>
          <w:bottom w:val="single" w:color="2E75B6" w:sz="8" w:space="4"/>
        </w:pBdr>
        <w:spacing w:after="120" w:before="280"/>
      </w:pPr>
      <w:r>
        <w:rPr>
          <w:rFonts w:ascii="Arial" w:cs="Arial" w:eastAsia="Arial" w:hAnsi="Arial"/>
          <w:b/>
          <w:bCs/>
          <w:color w:val="1F3864"/>
          <w:sz w:val="28"/>
          <w:szCs w:val="28"/>
        </w:rPr>
        <w:t xml:space="preserve">2. TUJUAN STUDI</w:t>
      </w:r>
    </w:p>
    <w:p>
      <w:pPr>
        <w:spacing w:after="80" w:before="40"/>
        <w:jc w:val="both"/>
      </w:pPr>
      <w:r>
        <w:rPr>
          <w:rFonts w:ascii="Arial" w:cs="Arial" w:eastAsia="Arial" w:hAnsi="Arial"/>
          <w:sz w:val="20"/>
          <w:szCs w:val="20"/>
        </w:rPr>
        <w:t xml:space="preserve">Studi kajian ini memiliki tujuan utama sebagai berikut:</w:t>
      </w:r>
    </w:p>
    <w:p>
      <w:pPr>
        <w:pStyle w:val="ListParagraph"/>
        <w:numPr>
          <w:ilvl w:val="0"/>
          <w:numId w:val="2"/>
        </w:numPr>
        <w:spacing w:after="40" w:before="40"/>
      </w:pPr>
      <w:r>
        <w:rPr>
          <w:rFonts w:ascii="Arial" w:cs="Arial" w:eastAsia="Arial" w:hAnsi="Arial"/>
          <w:sz w:val="20"/>
          <w:szCs w:val="20"/>
        </w:rPr>
        <w:t xml:space="preserve">Menentukan lokasi optimal (terbaik) untuk masing-masing Sub-WO di Lhokseumawe, Bireuen, dan Sigli</w:t>
      </w:r>
    </w:p>
    <w:p>
      <w:pPr>
        <w:pStyle w:val="ListParagraph"/>
        <w:numPr>
          <w:ilvl w:val="0"/>
          <w:numId w:val="2"/>
        </w:numPr>
        <w:spacing w:after="40" w:before="40"/>
      </w:pPr>
      <w:r>
        <w:rPr>
          <w:rFonts w:ascii="Arial" w:cs="Arial" w:eastAsia="Arial" w:hAnsi="Arial"/>
          <w:sz w:val="20"/>
          <w:szCs w:val="20"/>
        </w:rPr>
        <w:t xml:space="preserve">Menyediakan 3 lokasi alternatif untuk setiap wilayah sebagai opsi cadangan</w:t>
      </w:r>
    </w:p>
    <w:p>
      <w:pPr>
        <w:pStyle w:val="ListParagraph"/>
        <w:numPr>
          <w:ilvl w:val="0"/>
          <w:numId w:val="2"/>
        </w:numPr>
        <w:spacing w:after="40" w:before="40"/>
      </w:pPr>
      <w:r>
        <w:rPr>
          <w:rFonts w:ascii="Arial" w:cs="Arial" w:eastAsia="Arial" w:hAnsi="Arial"/>
          <w:sz w:val="20"/>
          <w:szCs w:val="20"/>
        </w:rPr>
        <w:t xml:space="preserve">Menghitung estimasi jarak, waktu tempuh, dan biaya BBM per trip distribusi</w:t>
      </w:r>
    </w:p>
    <w:p>
      <w:pPr>
        <w:pStyle w:val="ListParagraph"/>
        <w:numPr>
          <w:ilvl w:val="0"/>
          <w:numId w:val="2"/>
        </w:numPr>
        <w:spacing w:after="40" w:before="40"/>
      </w:pPr>
      <w:r>
        <w:rPr>
          <w:rFonts w:ascii="Arial" w:cs="Arial" w:eastAsia="Arial" w:hAnsi="Arial"/>
          <w:sz w:val="20"/>
          <w:szCs w:val="20"/>
        </w:rPr>
        <w:t xml:space="preserve">Memberikan rekomendasi berbasis analisis spasial dan logistik yang dapat dipertanggungjawabkan</w:t>
      </w:r>
    </w:p>
    <w:p>
      <w:pPr>
        <w:pStyle w:val="ListParagraph"/>
        <w:numPr>
          <w:ilvl w:val="0"/>
          <w:numId w:val="2"/>
        </w:numPr>
        <w:spacing w:after="40" w:before="40"/>
      </w:pPr>
      <w:r>
        <w:rPr>
          <w:rFonts w:ascii="Arial" w:cs="Arial" w:eastAsia="Arial" w:hAnsi="Arial"/>
          <w:sz w:val="20"/>
          <w:szCs w:val="20"/>
        </w:rPr>
        <w:t xml:space="preserve">Mendokumentasikan metodologi yang dapat direplikasi untuk pengembangan Sub-WO di wilayah lain</w:t>
      </w:r>
    </w:p>
    <w:p>
      <w:pPr>
        <w:pStyle w:val="Heading1"/>
        <w:pBdr>
          <w:bottom w:val="single" w:color="2E75B6" w:sz="8" w:space="4"/>
        </w:pBdr>
        <w:spacing w:after="120" w:before="280"/>
      </w:pPr>
      <w:r>
        <w:rPr>
          <w:rFonts w:ascii="Arial" w:cs="Arial" w:eastAsia="Arial" w:hAnsi="Arial"/>
          <w:b/>
          <w:bCs/>
          <w:color w:val="1F3864"/>
          <w:sz w:val="28"/>
          <w:szCs w:val="28"/>
        </w:rPr>
        <w:t xml:space="preserve">3. KETERBATASAN DATA</w:t>
      </w:r>
    </w:p>
    <w:p>
      <w:pPr>
        <w:spacing w:after="80" w:before="40"/>
        <w:jc w:val="both"/>
      </w:pPr>
      <w:r>
        <w:rPr>
          <w:rFonts w:ascii="Arial" w:cs="Arial" w:eastAsia="Arial" w:hAnsi="Arial"/>
          <w:sz w:val="20"/>
          <w:szCs w:val="20"/>
        </w:rPr>
        <w:t xml:space="preserve">Studi ini awalnya direncanakan menggunakan data SPPG (Stasiun Pengisian dan Penyimpanan Gas) dari website BGN (bgn.go.id/operasional-sppg). Data tersebut akan digunakan untuk memetakan sebaran pelanggan eksisting sebagai dasar analisis demand.</w:t>
      </w:r>
    </w:p>
    <w:p>
      <w:pPr>
        <w:spacing w:after="80" w:before="40"/>
        <w:jc w:val="both"/>
      </w:pPr>
      <w:r>
        <w:rPr>
          <w:rFonts w:ascii="Arial" w:cs="Arial" w:eastAsia="Arial" w:hAnsi="Arial"/>
          <w:sz w:val="20"/>
          <w:szCs w:val="20"/>
        </w:rPr>
        <w:t xml:space="preserve">Namun pada saat pelaksanaan studi, website tersebut tidak dapat di-scrape karena akses diblokir oleh sistem keamanan server (HTTP 403/429). Oleh karena itu, pendekatan analisis diubah dari data-driven (berbasis data SPPG) menjadi location-driven (berbasis analisis spasial dan logistik), tanpa mengurangi validitas rekomendasi.</w:t>
      </w:r>
    </w:p>
    <w:p>
      <w:pPr>
        <w:spacing w:after="80" w:before="40"/>
        <w:jc w:val="both"/>
      </w:pPr>
      <w:r>
        <w:rPr>
          <w:rFonts w:ascii="Arial" w:cs="Arial" w:eastAsia="Arial" w:hAnsi="Arial"/>
          <w:sz w:val="20"/>
          <w:szCs w:val="20"/>
        </w:rPr>
        <w:t xml:space="preserve">Pendekatan location-driven tetap valid karena: (a) lokasi Sub-WO yang optimal secara logistik juga akan optimal secara demand, mengingat distribusi penduduk dan industri di Aceh umumnya mengikuti koridor jalan nasional; (b) analisis berbasis aksesibilitas jalan nasional mencerminkan potensi jangkauan pelanggan secara natural.</w:t>
      </w:r>
    </w:p>
    <w:p>
      <w:r>
        <w:br w:type="page"/>
      </w:r>
    </w:p>
    <w:p>
      <w:pPr>
        <w:pStyle w:val="Heading1"/>
        <w:pBdr>
          <w:bottom w:val="single" w:color="2E75B6" w:sz="8" w:space="4"/>
        </w:pBdr>
        <w:spacing w:after="120" w:before="280"/>
      </w:pPr>
      <w:r>
        <w:rPr>
          <w:rFonts w:ascii="Arial" w:cs="Arial" w:eastAsia="Arial" w:hAnsi="Arial"/>
          <w:b/>
          <w:bCs/>
          <w:color w:val="1F3864"/>
          <w:sz w:val="28"/>
          <w:szCs w:val="28"/>
        </w:rPr>
        <w:t xml:space="preserve">4. METODOLOGI</w:t>
      </w:r>
    </w:p>
    <w:p>
      <w:pPr>
        <w:spacing w:after="80" w:before="40"/>
        <w:jc w:val="both"/>
      </w:pPr>
      <w:r>
        <w:rPr>
          <w:rFonts w:ascii="Arial" w:cs="Arial" w:eastAsia="Arial" w:hAnsi="Arial"/>
          <w:sz w:val="20"/>
          <w:szCs w:val="20"/>
        </w:rPr>
        <w:t xml:space="preserve">Studi ini menggunakan pendekatan Weighted Location Scoring (WLS), yaitu metode penentuan lokasi optimal yang menggabungkan penilaian kuantitatif (jarak, waktu, biaya) dengan penilaian kualitatif (aksesibilitas, potensi demand, ketersediaan lahan) dalam suatu kerangka bobot tertimbang.</w:t>
      </w:r>
    </w:p>
    <w:p>
      <w:pPr>
        <w:pStyle w:val="Heading2"/>
        <w:spacing w:after="80" w:before="200"/>
      </w:pPr>
      <w:r>
        <w:rPr>
          <w:rFonts w:ascii="Arial" w:cs="Arial" w:eastAsia="Arial" w:hAnsi="Arial"/>
          <w:b/>
          <w:bCs/>
          <w:color w:val="2E75B6"/>
          <w:sz w:val="24"/>
          <w:szCs w:val="24"/>
        </w:rPr>
        <w:t xml:space="preserve">4.1 Alasan Pemilihan Metode WLS</w:t>
      </w:r>
    </w:p>
    <w:p>
      <w:pPr>
        <w:spacing w:after="80" w:before="40"/>
        <w:jc w:val="both"/>
      </w:pPr>
      <w:r>
        <w:rPr>
          <w:rFonts w:ascii="Arial" w:cs="Arial" w:eastAsia="Arial" w:hAnsi="Arial"/>
          <w:sz w:val="20"/>
          <w:szCs w:val="20"/>
        </w:rPr>
        <w:t xml:space="preserve">WLS dipilih karena: (a) mampu mengintegrasikan faktor heterogen dalam satu skor terstandar; (b) transparan dan dapat diaudit – setiap bobot dan skor dapat dijelaskan; (c) fleksibel – bobot dapat disesuaikan jika prioritas bisnis berubah; (d) cocok untuk kasus dengan jumlah kandidat terbatas (4 per wilayah).</w:t>
      </w:r>
    </w:p>
    <w:p>
      <w:pPr>
        <w:pStyle w:val="Heading2"/>
        <w:spacing w:after="80" w:before="200"/>
      </w:pPr>
      <w:r>
        <w:rPr>
          <w:rFonts w:ascii="Arial" w:cs="Arial" w:eastAsia="Arial" w:hAnsi="Arial"/>
          <w:b/>
          <w:bCs/>
          <w:color w:val="2E75B6"/>
          <w:sz w:val="24"/>
          <w:szCs w:val="24"/>
        </w:rPr>
        <w:t xml:space="preserve">4.2 Cara Kerja WLS</w:t>
      </w:r>
    </w:p>
    <w:p>
      <w:pPr>
        <w:spacing w:after="80" w:before="40"/>
        <w:jc w:val="both"/>
      </w:pPr>
      <w:r>
        <w:rPr>
          <w:rFonts w:ascii="Arial" w:cs="Arial" w:eastAsia="Arial" w:hAnsi="Arial"/>
          <w:sz w:val="20"/>
          <w:szCs w:val="20"/>
        </w:rPr>
        <w:t xml:space="preserve">Formula WLS:</w:t>
      </w:r>
    </w:p>
    <w:p>
      <w:pPr>
        <w:spacing w:after="80" w:before="80"/>
        <w:jc w:val="center"/>
      </w:pPr>
      <w:r>
        <w:rPr>
          <w:rFonts w:ascii="Courier New" w:cs="Courier New" w:eastAsia="Courier New" w:hAnsi="Courier New"/>
          <w:b/>
          <w:bCs/>
          <w:color w:val="1F3864"/>
          <w:sz w:val="20"/>
          <w:szCs w:val="20"/>
        </w:rPr>
        <w:t xml:space="preserve">WLS = Σ (skor_kriteria_i × bobot_kriteria_i)</w:t>
      </w:r>
    </w:p>
    <w:p>
      <w:pPr>
        <w:spacing w:after="80" w:before="40"/>
        <w:jc w:val="both"/>
      </w:pPr>
      <w:r>
        <w:rPr>
          <w:rFonts w:ascii="Arial" w:cs="Arial" w:eastAsia="Arial" w:hAnsi="Arial"/>
          <w:sz w:val="20"/>
          <w:szCs w:val="20"/>
        </w:rPr>
        <w:t xml:space="preserve">Enam kriteria dengan bobotnya:</w:t>
      </w:r>
    </w:p>
    <w:p>
      <w:pPr>
        <w:pStyle w:val="ListParagraph"/>
        <w:numPr>
          <w:ilvl w:val="0"/>
          <w:numId w:val="2"/>
        </w:numPr>
        <w:spacing w:after="40" w:before="40"/>
      </w:pPr>
      <w:r>
        <w:rPr>
          <w:rFonts w:ascii="Arial" w:cs="Arial" w:eastAsia="Arial" w:hAnsi="Arial"/>
          <w:sz w:val="20"/>
          <w:szCs w:val="20"/>
        </w:rPr>
        <w:t xml:space="preserve">Akses Jalan Utama (bobot 25%) – kedekatan dan kualitas akses ke jalan nasional/arteri yang dapat dilalui truk isotank</w:t>
      </w:r>
    </w:p>
    <w:p>
      <w:pPr>
        <w:pStyle w:val="ListParagraph"/>
        <w:numPr>
          <w:ilvl w:val="0"/>
          <w:numId w:val="2"/>
        </w:numPr>
        <w:spacing w:after="40" w:before="40"/>
      </w:pPr>
      <w:r>
        <w:rPr>
          <w:rFonts w:ascii="Arial" w:cs="Arial" w:eastAsia="Arial" w:hAnsi="Arial"/>
          <w:sz w:val="20"/>
          <w:szCs w:val="20"/>
        </w:rPr>
        <w:t xml:space="preserve">Jarak dari Arun (bobot 25%) – semakin dekat ke sumber LNG, skor semakin tinggi</w:t>
      </w:r>
    </w:p>
    <w:p>
      <w:pPr>
        <w:pStyle w:val="ListParagraph"/>
        <w:numPr>
          <w:ilvl w:val="0"/>
          <w:numId w:val="2"/>
        </w:numPr>
        <w:spacing w:after="40" w:before="40"/>
      </w:pPr>
      <w:r>
        <w:rPr>
          <w:rFonts w:ascii="Arial" w:cs="Arial" w:eastAsia="Arial" w:hAnsi="Arial"/>
          <w:sz w:val="20"/>
          <w:szCs w:val="20"/>
        </w:rPr>
        <w:t xml:space="preserve">Waktu Tempuh (bobot 20%) – efisiensi siklus pengiriman isotank PP</w:t>
      </w:r>
    </w:p>
    <w:p>
      <w:pPr>
        <w:pStyle w:val="ListParagraph"/>
        <w:numPr>
          <w:ilvl w:val="0"/>
          <w:numId w:val="2"/>
        </w:numPr>
        <w:spacing w:after="40" w:before="40"/>
      </w:pPr>
      <w:r>
        <w:rPr>
          <w:rFonts w:ascii="Arial" w:cs="Arial" w:eastAsia="Arial" w:hAnsi="Arial"/>
          <w:sz w:val="20"/>
          <w:szCs w:val="20"/>
        </w:rPr>
        <w:t xml:space="preserve">Biaya BBM (bobot 15%) – efisiensi operasional per trip</w:t>
      </w:r>
    </w:p>
    <w:p>
      <w:pPr>
        <w:pStyle w:val="ListParagraph"/>
        <w:numPr>
          <w:ilvl w:val="0"/>
          <w:numId w:val="2"/>
        </w:numPr>
        <w:spacing w:after="40" w:before="40"/>
      </w:pPr>
      <w:r>
        <w:rPr>
          <w:rFonts w:ascii="Arial" w:cs="Arial" w:eastAsia="Arial" w:hAnsi="Arial"/>
          <w:sz w:val="20"/>
          <w:szCs w:val="20"/>
        </w:rPr>
        <w:t xml:space="preserve">Potensi Demand Area (bobot 10%) – estimasi pelanggan potensial di radius distribusi</w:t>
      </w:r>
    </w:p>
    <w:p>
      <w:pPr>
        <w:pStyle w:val="ListParagraph"/>
        <w:numPr>
          <w:ilvl w:val="0"/>
          <w:numId w:val="2"/>
        </w:numPr>
        <w:spacing w:after="40" w:before="40"/>
      </w:pPr>
      <w:r>
        <w:rPr>
          <w:rFonts w:ascii="Arial" w:cs="Arial" w:eastAsia="Arial" w:hAnsi="Arial"/>
          <w:sz w:val="20"/>
          <w:szCs w:val="20"/>
        </w:rPr>
        <w:t xml:space="preserve">Ketersediaan Lahan (bobot 5%) – ease of development, zonasi, dan ketersediaan lahan industri/komersial</w:t>
      </w:r>
    </w:p>
    <w:p>
      <w:pPr>
        <w:pStyle w:val="Heading2"/>
        <w:spacing w:after="80" w:before="200"/>
      </w:pPr>
      <w:r>
        <w:rPr>
          <w:rFonts w:ascii="Arial" w:cs="Arial" w:eastAsia="Arial" w:hAnsi="Arial"/>
          <w:b/>
          <w:bCs/>
          <w:color w:val="2E75B6"/>
          <w:sz w:val="24"/>
          <w:szCs w:val="24"/>
        </w:rPr>
        <w:t xml:space="preserve">4.3 Langkah Implementasi</w:t>
      </w:r>
    </w:p>
    <w:p>
      <w:pPr>
        <w:pStyle w:val="ListParagraph"/>
        <w:numPr>
          <w:ilvl w:val="0"/>
          <w:numId w:val="3"/>
        </w:numPr>
        <w:spacing w:after="40" w:before="40"/>
      </w:pPr>
      <w:r>
        <w:rPr>
          <w:rFonts w:ascii="Arial" w:cs="Arial" w:eastAsia="Arial" w:hAnsi="Arial"/>
          <w:sz w:val="20"/>
          <w:szCs w:val="20"/>
        </w:rPr>
        <w:t xml:space="preserve">Penetapan wilayah studi dan radius distribusi (±30 km dari pusat kota)</w:t>
      </w:r>
    </w:p>
    <w:p>
      <w:pPr>
        <w:pStyle w:val="ListParagraph"/>
        <w:numPr>
          <w:ilvl w:val="0"/>
          <w:numId w:val="3"/>
        </w:numPr>
        <w:spacing w:after="40" w:before="40"/>
      </w:pPr>
      <w:r>
        <w:rPr>
          <w:rFonts w:ascii="Arial" w:cs="Arial" w:eastAsia="Arial" w:hAnsi="Arial"/>
          <w:sz w:val="20"/>
          <w:szCs w:val="20"/>
        </w:rPr>
        <w:t xml:space="preserve">Penentuan titik baseline (centroid kasar wilayah urban dekat jalan utama)</w:t>
      </w:r>
    </w:p>
    <w:p>
      <w:pPr>
        <w:pStyle w:val="ListParagraph"/>
        <w:numPr>
          <w:ilvl w:val="0"/>
          <w:numId w:val="3"/>
        </w:numPr>
        <w:spacing w:after="40" w:before="40"/>
      </w:pPr>
      <w:r>
        <w:rPr>
          <w:rFonts w:ascii="Arial" w:cs="Arial" w:eastAsia="Arial" w:hAnsi="Arial"/>
          <w:sz w:val="20"/>
          <w:szCs w:val="20"/>
        </w:rPr>
        <w:t xml:space="preserve">Identifikasi 4 kandidat lokasi per wilayah berbasis kriteria aksesibilitas</w:t>
      </w:r>
    </w:p>
    <w:p>
      <w:pPr>
        <w:pStyle w:val="ListParagraph"/>
        <w:numPr>
          <w:ilvl w:val="0"/>
          <w:numId w:val="3"/>
        </w:numPr>
        <w:spacing w:after="40" w:before="40"/>
      </w:pPr>
      <w:r>
        <w:rPr>
          <w:rFonts w:ascii="Arial" w:cs="Arial" w:eastAsia="Arial" w:hAnsi="Arial"/>
          <w:sz w:val="20"/>
          <w:szCs w:val="20"/>
        </w:rPr>
        <w:t xml:space="preserve">Kalkulasi jarak jalan via Haversine × road factor (1.35× nasional, 1.25× tol)</w:t>
      </w:r>
    </w:p>
    <w:p>
      <w:pPr>
        <w:pStyle w:val="ListParagraph"/>
        <w:numPr>
          <w:ilvl w:val="0"/>
          <w:numId w:val="3"/>
        </w:numPr>
        <w:spacing w:after="40" w:before="40"/>
      </w:pPr>
      <w:r>
        <w:rPr>
          <w:rFonts w:ascii="Arial" w:cs="Arial" w:eastAsia="Arial" w:hAnsi="Arial"/>
          <w:sz w:val="20"/>
          <w:szCs w:val="20"/>
        </w:rPr>
        <w:t xml:space="preserve">Estimasi waktu tempuh berdasarkan kecepatan truk per kondisi jalan</w:t>
      </w:r>
    </w:p>
    <w:p>
      <w:pPr>
        <w:pStyle w:val="ListParagraph"/>
        <w:numPr>
          <w:ilvl w:val="0"/>
          <w:numId w:val="3"/>
        </w:numPr>
        <w:spacing w:after="40" w:before="40"/>
      </w:pPr>
      <w:r>
        <w:rPr>
          <w:rFonts w:ascii="Arial" w:cs="Arial" w:eastAsia="Arial" w:hAnsi="Arial"/>
          <w:sz w:val="20"/>
          <w:szCs w:val="20"/>
        </w:rPr>
        <w:t xml:space="preserve">Estimasi biaya BBM tiga skenario (Bio Solar Only, Mix, Dexlite Only)</w:t>
      </w:r>
    </w:p>
    <w:p>
      <w:pPr>
        <w:pStyle w:val="ListParagraph"/>
        <w:numPr>
          <w:ilvl w:val="0"/>
          <w:numId w:val="3"/>
        </w:numPr>
        <w:spacing w:after="40" w:before="40"/>
      </w:pPr>
      <w:r>
        <w:rPr>
          <w:rFonts w:ascii="Arial" w:cs="Arial" w:eastAsia="Arial" w:hAnsi="Arial"/>
          <w:sz w:val="20"/>
          <w:szCs w:val="20"/>
        </w:rPr>
        <w:t xml:space="preserve">Penilaian WLS dan penentuan ranking lokasi per wilayah</w:t>
      </w:r>
    </w:p>
    <w:p>
      <w:pPr>
        <w:pStyle w:val="ListParagraph"/>
        <w:numPr>
          <w:ilvl w:val="0"/>
          <w:numId w:val="3"/>
        </w:numPr>
        <w:spacing w:after="40" w:before="40"/>
      </w:pPr>
      <w:r>
        <w:rPr>
          <w:rFonts w:ascii="Arial" w:cs="Arial" w:eastAsia="Arial" w:hAnsi="Arial"/>
          <w:sz w:val="20"/>
          <w:szCs w:val="20"/>
        </w:rPr>
        <w:t xml:space="preserve">Kompilasi rekomendasi dengan koordinat dan alamat lengkap</w:t>
      </w:r>
    </w:p>
    <w:p>
      <w:pPr>
        <w:pStyle w:val="Heading2"/>
        <w:spacing w:after="80" w:before="200"/>
      </w:pPr>
      <w:r>
        <w:rPr>
          <w:rFonts w:ascii="Arial" w:cs="Arial" w:eastAsia="Arial" w:hAnsi="Arial"/>
          <w:b/>
          <w:bCs/>
          <w:color w:val="2E75B6"/>
          <w:sz w:val="24"/>
          <w:szCs w:val="24"/>
        </w:rPr>
        <w:t xml:space="preserve">4.4 Parameter Kalkulasi</w:t>
      </w:r>
    </w:p>
    <w:p>
      <w:pPr>
        <w:pStyle w:val="ListParagraph"/>
        <w:numPr>
          <w:ilvl w:val="0"/>
          <w:numId w:val="2"/>
        </w:numPr>
        <w:spacing w:after="40" w:before="40"/>
      </w:pPr>
      <w:r>
        <w:rPr>
          <w:rFonts w:ascii="Arial" w:cs="Arial" w:eastAsia="Arial" w:hAnsi="Arial"/>
          <w:sz w:val="20"/>
          <w:szCs w:val="20"/>
        </w:rPr>
        <w:t xml:space="preserve">Kecepatan truk muatan penuh: 45 km/j (nasional), 60 km/j (tol)</w:t>
      </w:r>
    </w:p>
    <w:p>
      <w:pPr>
        <w:pStyle w:val="ListParagraph"/>
        <w:numPr>
          <w:ilvl w:val="0"/>
          <w:numId w:val="2"/>
        </w:numPr>
        <w:spacing w:after="40" w:before="40"/>
      </w:pPr>
      <w:r>
        <w:rPr>
          <w:rFonts w:ascii="Arial" w:cs="Arial" w:eastAsia="Arial" w:hAnsi="Arial"/>
          <w:sz w:val="20"/>
          <w:szCs w:val="20"/>
        </w:rPr>
        <w:t xml:space="preserve">Kecepatan truk kosong: 55 km/j (nasional), 70 km/j (tol)</w:t>
      </w:r>
    </w:p>
    <w:p>
      <w:pPr>
        <w:pStyle w:val="ListParagraph"/>
        <w:numPr>
          <w:ilvl w:val="0"/>
          <w:numId w:val="2"/>
        </w:numPr>
        <w:spacing w:after="40" w:before="40"/>
      </w:pPr>
      <w:r>
        <w:rPr>
          <w:rFonts w:ascii="Arial" w:cs="Arial" w:eastAsia="Arial" w:hAnsi="Arial"/>
          <w:sz w:val="20"/>
          <w:szCs w:val="20"/>
        </w:rPr>
        <w:t xml:space="preserve">Konsumsi BBM truk isotank: 4,5 km/liter (muatan), 5,5 km/liter (kosong)</w:t>
      </w:r>
    </w:p>
    <w:p>
      <w:pPr>
        <w:pStyle w:val="ListParagraph"/>
        <w:numPr>
          <w:ilvl w:val="0"/>
          <w:numId w:val="2"/>
        </w:numPr>
        <w:spacing w:after="40" w:before="40"/>
      </w:pPr>
      <w:r>
        <w:rPr>
          <w:rFonts w:ascii="Arial" w:cs="Arial" w:eastAsia="Arial" w:hAnsi="Arial"/>
          <w:sz w:val="20"/>
          <w:szCs w:val="20"/>
        </w:rPr>
        <w:t xml:space="preserve">Bio Solar: Rp 6.800/liter, kuota maksimum 50 liter/kendaraan/hari</w:t>
      </w:r>
    </w:p>
    <w:p>
      <w:pPr>
        <w:pStyle w:val="ListParagraph"/>
        <w:numPr>
          <w:ilvl w:val="0"/>
          <w:numId w:val="2"/>
        </w:numPr>
        <w:spacing w:after="40" w:before="40"/>
      </w:pPr>
      <w:r>
        <w:rPr>
          <w:rFonts w:ascii="Arial" w:cs="Arial" w:eastAsia="Arial" w:hAnsi="Arial"/>
          <w:sz w:val="20"/>
          <w:szCs w:val="20"/>
        </w:rPr>
        <w:t xml:space="preserve">Dexlite: Rp 24.150/liter, tidak ada kuota</w:t>
      </w:r>
    </w:p>
    <w:p>
      <w:pPr>
        <w:pStyle w:val="ListParagraph"/>
        <w:numPr>
          <w:ilvl w:val="0"/>
          <w:numId w:val="2"/>
        </w:numPr>
        <w:spacing w:after="40" w:before="40"/>
      </w:pPr>
      <w:r>
        <w:rPr>
          <w:rFonts w:ascii="Arial" w:cs="Arial" w:eastAsia="Arial" w:hAnsi="Arial"/>
          <w:sz w:val="20"/>
          <w:szCs w:val="20"/>
        </w:rPr>
        <w:t xml:space="preserve">Road factor: 1,35× (jalan nasional), 1,25× (via tol)</w:t>
      </w:r>
    </w:p>
    <w:p>
      <w:r>
        <w:br w:type="page"/>
      </w:r>
    </w:p>
    <w:p>
      <w:pPr>
        <w:pStyle w:val="Heading1"/>
        <w:pBdr>
          <w:bottom w:val="single" w:color="2E75B6" w:sz="8" w:space="4"/>
        </w:pBdr>
        <w:spacing w:after="120" w:before="280"/>
      </w:pPr>
      <w:r>
        <w:rPr>
          <w:rFonts w:ascii="Arial" w:cs="Arial" w:eastAsia="Arial" w:hAnsi="Arial"/>
          <w:b/>
          <w:bCs/>
          <w:color w:val="1F3864"/>
          <w:sz w:val="28"/>
          <w:szCs w:val="28"/>
        </w:rPr>
        <w:t xml:space="preserve">5. ANALISIS PER WILAYAH</w:t>
      </w:r>
    </w:p>
    <w:p>
      <w:pPr>
        <w:spacing w:after="80" w:before="40"/>
        <w:jc w:val="both"/>
      </w:pPr>
      <w:r>
        <w:rPr>
          <w:rFonts w:ascii="Arial" w:cs="Arial" w:eastAsia="Arial" w:hAnsi="Arial"/>
          <w:sz w:val="20"/>
          <w:szCs w:val="20"/>
        </w:rPr>
        <w:t xml:space="preserve">Berikut analisis detail untuk masing-masing wilayah Sub-WO, mencakup karakteristik wilayah, tabel kandidat lokasi, alamat lengkap, dan narasi per kandidat.</w:t>
      </w:r>
    </w:p>
    <w:p>
      <w:pPr>
        <w:pStyle w:val="Heading2"/>
        <w:spacing w:after="80" w:before="200"/>
      </w:pPr>
      <w:r>
        <w:rPr>
          <w:rFonts w:ascii="Arial" w:cs="Arial" w:eastAsia="Arial" w:hAnsi="Arial"/>
          <w:b/>
          <w:bCs/>
          <w:color w:val="2E75B6"/>
          <w:sz w:val="24"/>
          <w:szCs w:val="24"/>
        </w:rPr>
        <w:t xml:space="preserve">5.1 Lhokseumawe</w:t>
      </w:r>
    </w:p>
    <w:p>
      <w:pPr>
        <w:spacing w:after="80" w:before="40"/>
        <w:jc w:val="both"/>
      </w:pPr>
      <w:r>
        <w:rPr>
          <w:rFonts w:ascii="Arial" w:cs="Arial" w:eastAsia="Arial" w:hAnsi="Arial"/>
          <w:sz w:val="20"/>
          <w:szCs w:val="20"/>
        </w:rPr>
        <w:t xml:space="preserve">Kota Lhokseumawe merupakan pusat industri dan perdagangan di pesisir timur Aceh, berdekatan dengan sumber LNG Arun (jarak ~4–12 km). Wilayah ini merupakan lokasi Kawasan Ekonomi Khusus (KEK) Arun Lhokseumawe yang memiliki infrastruktur zona industri energi. Keunggulan utama: jarak distribusi dari Arun paling dekat di antara tiga wilayah, sehingga biaya BBM paling minimal.</w:t>
      </w:r>
    </w:p>
    <w:p>
      <w:pPr>
        <w:pStyle w:val="Heading3"/>
        <w:spacing w:after="60" w:before="160"/>
      </w:pPr>
      <w:r>
        <w:rPr>
          <w:rFonts w:ascii="Arial" w:cs="Arial" w:eastAsia="Arial" w:hAnsi="Arial"/>
          <w:b/>
          <w:bCs/>
          <w:color w:val="2E4057"/>
          <w:sz w:val="22"/>
          <w:szCs w:val="22"/>
        </w:rPr>
        <w:t xml:space="preserve">Data Metrik Kandidat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1100"/>
        <w:gridCol w:w="1100"/>
        <w:gridCol w:w="1100"/>
        <w:gridCol w:w="1100"/>
        <w:gridCol w:w="1226"/>
      </w:tblGrid>
      <w:tr>
        <w:trPr>
          <w:tblHeader/>
        </w:trPr>
        <w:tc>
          <w:tcPr>
            <w:tcW w:type="dxa" w:w="1200"/>
            <w:tcBorders>
              <w:top w:val="single" w:color="FFFFFF" w:sz="1"/>
              <w:left w:val="single" w:color="FFFFFF" w:sz="1"/>
              <w:bottom w:val="single" w:color="FFFFFF" w:sz="1"/>
              <w:right w:val="single" w:color="FFFFFF" w:sz="1"/>
            </w:tcBorders>
            <w:shd w:fill="1F3864" w:val="clear"/>
            <w:tcMar>
              <w:top w:type="dxa" w:w="60"/>
              <w:left w:type="dxa" w:w="80"/>
              <w:bottom w:type="dxa" w:w="60"/>
              <w:right w:type="dxa" w:w="80"/>
            </w:tcMar>
            <w:vAlign w:val="center"/>
          </w:tcPr>
          <w:p>
            <w:pPr>
              <w:spacing w:after="40" w:before="40"/>
              <w:jc w:val="center"/>
            </w:pPr>
            <w:r>
              <w:rPr>
                <w:rFonts w:ascii="Arial" w:cs="Arial" w:eastAsia="Arial" w:hAnsi="Arial"/>
                <w:b/>
                <w:bCs/>
                <w:color w:val="FFFFFF"/>
                <w:sz w:val="17"/>
                <w:szCs w:val="17"/>
              </w:rPr>
              <w:t xml:space="preserve">Peringkat</w:t>
            </w:r>
          </w:p>
        </w:tc>
        <w:tc>
          <w:tcPr>
            <w:tcW w:type="dxa" w:w="1100"/>
            <w:tcBorders>
              <w:top w:val="single" w:color="FFFFFF" w:sz="1"/>
              <w:left w:val="single" w:color="FFFFFF" w:sz="1"/>
              <w:bottom w:val="single" w:color="FFFFFF" w:sz="1"/>
              <w:right w:val="single" w:color="FFFFFF" w:sz="1"/>
            </w:tcBorders>
            <w:shd w:fill="1F3864" w:val="clear"/>
            <w:tcMar>
              <w:top w:type="dxa" w:w="60"/>
              <w:left w:type="dxa" w:w="80"/>
              <w:bottom w:type="dxa" w:w="60"/>
              <w:right w:type="dxa" w:w="80"/>
            </w:tcMar>
            <w:vAlign w:val="center"/>
          </w:tcPr>
          <w:p>
            <w:pPr>
              <w:spacing w:after="40" w:before="40"/>
              <w:jc w:val="center"/>
            </w:pPr>
            <w:r>
              <w:rPr>
                <w:rFonts w:ascii="Arial" w:cs="Arial" w:eastAsia="Arial" w:hAnsi="Arial"/>
                <w:b/>
                <w:bCs/>
                <w:color w:val="FFFFFF"/>
                <w:sz w:val="17"/>
                <w:szCs w:val="17"/>
              </w:rPr>
              <w:t xml:space="preserve">Latitude</w:t>
            </w:r>
          </w:p>
        </w:tc>
        <w:tc>
          <w:tcPr>
            <w:tcW w:type="dxa" w:w="1100"/>
            <w:tcBorders>
              <w:top w:val="single" w:color="FFFFFF" w:sz="1"/>
              <w:left w:val="single" w:color="FFFFFF" w:sz="1"/>
              <w:bottom w:val="single" w:color="FFFFFF" w:sz="1"/>
              <w:right w:val="single" w:color="FFFFFF" w:sz="1"/>
            </w:tcBorders>
            <w:shd w:fill="1F3864" w:val="clear"/>
            <w:tcMar>
              <w:top w:type="dxa" w:w="60"/>
              <w:left w:type="dxa" w:w="80"/>
              <w:bottom w:type="dxa" w:w="60"/>
              <w:right w:type="dxa" w:w="80"/>
            </w:tcMar>
            <w:vAlign w:val="center"/>
          </w:tcPr>
          <w:p>
            <w:pPr>
              <w:spacing w:after="40" w:before="40"/>
              <w:jc w:val="center"/>
            </w:pPr>
            <w:r>
              <w:rPr>
                <w:rFonts w:ascii="Arial" w:cs="Arial" w:eastAsia="Arial" w:hAnsi="Arial"/>
                <w:b/>
                <w:bCs/>
                <w:color w:val="FFFFFF"/>
                <w:sz w:val="17"/>
                <w:szCs w:val="17"/>
              </w:rPr>
              <w:t xml:space="preserve">Longitude</w:t>
            </w:r>
          </w:p>
        </w:tc>
        <w:tc>
          <w:tcPr>
            <w:tcW w:type="dxa" w:w="1100"/>
            <w:tcBorders>
              <w:top w:val="single" w:color="FFFFFF" w:sz="1"/>
              <w:left w:val="single" w:color="FFFFFF" w:sz="1"/>
              <w:bottom w:val="single" w:color="FFFFFF" w:sz="1"/>
              <w:right w:val="single" w:color="FFFFFF" w:sz="1"/>
            </w:tcBorders>
            <w:shd w:fill="1F3864" w:val="clear"/>
            <w:tcMar>
              <w:top w:type="dxa" w:w="60"/>
              <w:left w:type="dxa" w:w="80"/>
              <w:bottom w:type="dxa" w:w="60"/>
              <w:right w:type="dxa" w:w="80"/>
            </w:tcMar>
            <w:vAlign w:val="center"/>
          </w:tcPr>
          <w:p>
            <w:pPr>
              <w:spacing w:after="40" w:before="40"/>
              <w:jc w:val="center"/>
            </w:pPr>
            <w:r>
              <w:rPr>
                <w:rFonts w:ascii="Arial" w:cs="Arial" w:eastAsia="Arial" w:hAnsi="Arial"/>
                <w:b/>
                <w:bCs/>
                <w:color w:val="FFFFFF"/>
                <w:sz w:val="17"/>
                <w:szCs w:val="17"/>
              </w:rPr>
              <w:t xml:space="preserve">Jarak Arun (km)</w:t>
            </w:r>
          </w:p>
        </w:tc>
        <w:tc>
          <w:tcPr>
            <w:tcW w:type="dxa" w:w="1100"/>
            <w:tcBorders>
              <w:top w:val="single" w:color="FFFFFF" w:sz="1"/>
              <w:left w:val="single" w:color="FFFFFF" w:sz="1"/>
              <w:bottom w:val="single" w:color="FFFFFF" w:sz="1"/>
              <w:right w:val="single" w:color="FFFFFF" w:sz="1"/>
            </w:tcBorders>
            <w:shd w:fill="1F3864" w:val="clear"/>
            <w:tcMar>
              <w:top w:type="dxa" w:w="60"/>
              <w:left w:type="dxa" w:w="80"/>
              <w:bottom w:type="dxa" w:w="60"/>
              <w:right w:type="dxa" w:w="80"/>
            </w:tcMar>
            <w:vAlign w:val="center"/>
          </w:tcPr>
          <w:p>
            <w:pPr>
              <w:spacing w:after="40" w:before="40"/>
              <w:jc w:val="center"/>
            </w:pPr>
            <w:r>
              <w:rPr>
                <w:rFonts w:ascii="Arial" w:cs="Arial" w:eastAsia="Arial" w:hAnsi="Arial"/>
                <w:b/>
                <w:bCs/>
                <w:color w:val="FFFFFF"/>
                <w:sz w:val="17"/>
                <w:szCs w:val="17"/>
              </w:rPr>
              <w:t xml:space="preserve">Waktu Arun</w:t>
            </w:r>
          </w:p>
        </w:tc>
        <w:tc>
          <w:tcPr>
            <w:tcW w:type="dxa" w:w="1100"/>
            <w:tcBorders>
              <w:top w:val="single" w:color="FFFFFF" w:sz="1"/>
              <w:left w:val="single" w:color="FFFFFF" w:sz="1"/>
              <w:bottom w:val="single" w:color="FFFFFF" w:sz="1"/>
              <w:right w:val="single" w:color="FFFFFF" w:sz="1"/>
            </w:tcBorders>
            <w:shd w:fill="1F3864" w:val="clear"/>
            <w:tcMar>
              <w:top w:type="dxa" w:w="60"/>
              <w:left w:type="dxa" w:w="80"/>
              <w:bottom w:type="dxa" w:w="60"/>
              <w:right w:type="dxa" w:w="80"/>
            </w:tcMar>
            <w:vAlign w:val="center"/>
          </w:tcPr>
          <w:p>
            <w:pPr>
              <w:spacing w:after="40" w:before="40"/>
              <w:jc w:val="center"/>
            </w:pPr>
            <w:r>
              <w:rPr>
                <w:rFonts w:ascii="Arial" w:cs="Arial" w:eastAsia="Arial" w:hAnsi="Arial"/>
                <w:b/>
                <w:bCs/>
                <w:color w:val="FFFFFF"/>
                <w:sz w:val="17"/>
                <w:szCs w:val="17"/>
              </w:rPr>
              <w:t xml:space="preserve">Biaya Mix (Rp)</w:t>
            </w:r>
          </w:p>
        </w:tc>
        <w:tc>
          <w:tcPr>
            <w:tcW w:type="dxa" w:w="1226"/>
            <w:tcBorders>
              <w:top w:val="single" w:color="FFFFFF" w:sz="1"/>
              <w:left w:val="single" w:color="FFFFFF" w:sz="1"/>
              <w:bottom w:val="single" w:color="FFFFFF" w:sz="1"/>
              <w:right w:val="single" w:color="FFFFFF" w:sz="1"/>
            </w:tcBorders>
            <w:shd w:fill="1F3864" w:val="clear"/>
            <w:tcMar>
              <w:top w:type="dxa" w:w="60"/>
              <w:left w:type="dxa" w:w="80"/>
              <w:bottom w:type="dxa" w:w="60"/>
              <w:right w:type="dxa" w:w="80"/>
            </w:tcMar>
            <w:vAlign w:val="center"/>
          </w:tcPr>
          <w:p>
            <w:pPr>
              <w:spacing w:after="40" w:before="40"/>
              <w:jc w:val="center"/>
            </w:pPr>
            <w:r>
              <w:rPr>
                <w:rFonts w:ascii="Arial" w:cs="Arial" w:eastAsia="Arial" w:hAnsi="Arial"/>
                <w:b/>
                <w:bCs/>
                <w:color w:val="FFFFFF"/>
                <w:sz w:val="17"/>
                <w:szCs w:val="17"/>
              </w:rPr>
              <w:t xml:space="preserve">Skor WLS</w:t>
            </w:r>
          </w:p>
        </w:tc>
      </w:tr>
      <w:tr>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80"/>
            </w:tcMar>
            <w:vAlign w:val="center"/>
          </w:tcPr>
          <w:p>
            <w:pPr>
              <w:spacing w:after="30" w:before="30"/>
              <w:jc w:val="center"/>
            </w:pPr>
            <w:r>
              <w:rPr>
                <w:rFonts w:ascii="Arial" w:cs="Arial" w:eastAsia="Arial" w:hAnsi="Arial"/>
                <w:b/>
                <w:bCs/>
                <w:color w:val="000000"/>
                <w:sz w:val="17"/>
                <w:szCs w:val="17"/>
              </w:rPr>
              <w:t xml:space="preserve">TERBAIK</w:t>
            </w:r>
          </w:p>
        </w:tc>
        <w:tc>
          <w:tcPr>
            <w:tcW w:type="dxa" w:w="11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5.1801</w:t>
            </w:r>
          </w:p>
        </w:tc>
        <w:tc>
          <w:tcPr>
            <w:tcW w:type="dxa" w:w="11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97.1502</w:t>
            </w:r>
          </w:p>
        </w:tc>
        <w:tc>
          <w:tcPr>
            <w:tcW w:type="dxa" w:w="11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11.4 km</w:t>
            </w:r>
          </w:p>
        </w:tc>
        <w:tc>
          <w:tcPr>
            <w:tcW w:type="dxa" w:w="11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0j 15m</w:t>
            </w:r>
          </w:p>
        </w:tc>
        <w:tc>
          <w:tcPr>
            <w:tcW w:type="dxa" w:w="11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Rp 31.280</w:t>
            </w:r>
          </w:p>
        </w:tc>
        <w:tc>
          <w:tcPr>
            <w:tcW w:type="dxa" w:w="1226"/>
            <w:tcBorders>
              <w:top w:val="single" w:color="CCCCCC" w:sz="1"/>
              <w:left w:val="single" w:color="CCCCCC" w:sz="1"/>
              <w:bottom w:val="single" w:color="CCCCCC" w:sz="1"/>
              <w:right w:val="single" w:color="CCCCCC" w:sz="1"/>
            </w:tcBorders>
            <w:shd w:fill="E2EFDA" w:val="clear"/>
            <w:tcMar>
              <w:top w:type="dxa" w:w="60"/>
              <w:left w:type="dxa" w:w="100"/>
              <w:bottom w:type="dxa" w:w="60"/>
              <w:right w:type="dxa" w:w="80"/>
            </w:tcMar>
            <w:vAlign w:val="center"/>
          </w:tcPr>
          <w:p>
            <w:pPr>
              <w:spacing w:after="30" w:before="30"/>
              <w:jc w:val="center"/>
            </w:pPr>
            <w:r>
              <w:rPr>
                <w:rFonts w:ascii="Arial" w:cs="Arial" w:eastAsia="Arial" w:hAnsi="Arial"/>
                <w:b/>
                <w:bCs/>
                <w:color w:val="000000"/>
                <w:sz w:val="17"/>
                <w:szCs w:val="17"/>
              </w:rPr>
              <w:t xml:space="preserve">8.78</w:t>
            </w:r>
          </w:p>
        </w:tc>
      </w:tr>
      <w:tr>
        <w:tc>
          <w:tcPr>
            <w:tcW w:type="dxa" w:w="1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ALTERNATIF 1</w:t>
            </w:r>
          </w:p>
        </w:tc>
        <w:tc>
          <w:tcPr>
            <w:tcW w:type="dxa" w:w="11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5.1900</w:t>
            </w:r>
          </w:p>
        </w:tc>
        <w:tc>
          <w:tcPr>
            <w:tcW w:type="dxa" w:w="11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97.1280</w:t>
            </w:r>
          </w:p>
        </w:tc>
        <w:tc>
          <w:tcPr>
            <w:tcW w:type="dxa" w:w="11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7.8 km</w:t>
            </w:r>
          </w:p>
        </w:tc>
        <w:tc>
          <w:tcPr>
            <w:tcW w:type="dxa" w:w="11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0j 10m</w:t>
            </w:r>
          </w:p>
        </w:tc>
        <w:tc>
          <w:tcPr>
            <w:tcW w:type="dxa" w:w="11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Rp 21.280</w:t>
            </w:r>
          </w:p>
        </w:tc>
        <w:tc>
          <w:tcPr>
            <w:tcW w:type="dxa" w:w="1226"/>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8.78</w:t>
            </w:r>
          </w:p>
        </w:tc>
      </w:tr>
      <w:tr>
        <w:tc>
          <w:tcPr>
            <w:tcW w:type="dxa" w:w="1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ALTERNATIF 2</w:t>
            </w:r>
          </w:p>
        </w:tc>
        <w:tc>
          <w:tcPr>
            <w:tcW w:type="dxa" w:w="11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5.2050</w:t>
            </w:r>
          </w:p>
        </w:tc>
        <w:tc>
          <w:tcPr>
            <w:tcW w:type="dxa" w:w="11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97.1100</w:t>
            </w:r>
          </w:p>
        </w:tc>
        <w:tc>
          <w:tcPr>
            <w:tcW w:type="dxa" w:w="11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4.3 km</w:t>
            </w:r>
          </w:p>
        </w:tc>
        <w:tc>
          <w:tcPr>
            <w:tcW w:type="dxa" w:w="11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0j 6m</w:t>
            </w:r>
          </w:p>
        </w:tc>
        <w:tc>
          <w:tcPr>
            <w:tcW w:type="dxa" w:w="11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Rp 11.760</w:t>
            </w:r>
          </w:p>
        </w:tc>
        <w:tc>
          <w:tcPr>
            <w:tcW w:type="dxa" w:w="1226"/>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8.85</w:t>
            </w:r>
          </w:p>
        </w:tc>
      </w:tr>
      <w:tr>
        <w:tc>
          <w:tcPr>
            <w:tcW w:type="dxa" w:w="1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ALTERNATIF 3</w:t>
            </w:r>
          </w:p>
        </w:tc>
        <w:tc>
          <w:tcPr>
            <w:tcW w:type="dxa" w:w="11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5.1650</w:t>
            </w:r>
          </w:p>
        </w:tc>
        <w:tc>
          <w:tcPr>
            <w:tcW w:type="dxa" w:w="11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97.1420</w:t>
            </w:r>
          </w:p>
        </w:tc>
        <w:tc>
          <w:tcPr>
            <w:tcW w:type="dxa" w:w="11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11.9 km</w:t>
            </w:r>
          </w:p>
        </w:tc>
        <w:tc>
          <w:tcPr>
            <w:tcW w:type="dxa" w:w="11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0j 16m</w:t>
            </w:r>
          </w:p>
        </w:tc>
        <w:tc>
          <w:tcPr>
            <w:tcW w:type="dxa" w:w="11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Rp 32.640</w:t>
            </w:r>
          </w:p>
        </w:tc>
        <w:tc>
          <w:tcPr>
            <w:tcW w:type="dxa" w:w="1226"/>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8.03</w:t>
            </w:r>
          </w:p>
        </w:tc>
      </w:tr>
    </w:tbl>
    <w:p>
      <w:pPr>
        <w:spacing w:after="60" w:before="60"/>
      </w:pPr>
      <w:r>
        <w:rPr>
          <w:rFonts w:ascii="Arial" w:cs="Arial" w:eastAsia="Arial" w:hAnsi="Arial"/>
          <w:b w:val="false"/>
          <w:bCs w:val="false"/>
          <w:i w:val="false"/>
          <w:iCs w:val="false"/>
          <w:color w:val="000000"/>
          <w:sz w:val="20"/>
          <w:szCs w:val="20"/>
        </w:rPr>
        <w:t xml:space="preserve"/>
      </w:r>
    </w:p>
    <w:p>
      <w:pPr>
        <w:pStyle w:val="Heading3"/>
        <w:spacing w:after="60" w:before="160"/>
      </w:pPr>
      <w:r>
        <w:rPr>
          <w:rFonts w:ascii="Arial" w:cs="Arial" w:eastAsia="Arial" w:hAnsi="Arial"/>
          <w:b/>
          <w:bCs/>
          <w:color w:val="2E4057"/>
          <w:sz w:val="22"/>
          <w:szCs w:val="22"/>
        </w:rPr>
        <w:t xml:space="preserve">Alamat Lengkap Kandidat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1326"/>
        <w:gridCol w:w="1500"/>
        <w:gridCol w:w="1500"/>
        <w:gridCol w:w="1000"/>
      </w:tblGrid>
      <w:tr>
        <w:trPr>
          <w:tblHeader/>
        </w:trPr>
        <w:tc>
          <w:tcPr>
            <w:tcW w:type="dxa" w:w="1300"/>
            <w:tcBorders>
              <w:top w:val="single" w:color="FFFFFF" w:sz="1"/>
              <w:left w:val="single" w:color="FFFFFF" w:sz="1"/>
              <w:bottom w:val="single" w:color="FFFFFF" w:sz="1"/>
              <w:right w:val="single" w:color="FFFFFF" w:sz="1"/>
            </w:tcBorders>
            <w:shd w:fill="1F3864" w:val="clear"/>
            <w:tcMar>
              <w:top w:type="dxa" w:w="60"/>
              <w:left w:type="dxa" w:w="80"/>
              <w:bottom w:type="dxa" w:w="60"/>
              <w:right w:type="dxa" w:w="80"/>
            </w:tcMar>
            <w:vAlign w:val="center"/>
          </w:tcPr>
          <w:p>
            <w:pPr>
              <w:spacing w:after="40" w:before="40"/>
              <w:jc w:val="center"/>
            </w:pPr>
            <w:r>
              <w:rPr>
                <w:rFonts w:ascii="Arial" w:cs="Arial" w:eastAsia="Arial" w:hAnsi="Arial"/>
                <w:b/>
                <w:bCs/>
                <w:color w:val="FFFFFF"/>
                <w:sz w:val="17"/>
                <w:szCs w:val="17"/>
              </w:rPr>
              <w:t xml:space="preserve">Peringkat</w:t>
            </w:r>
          </w:p>
        </w:tc>
        <w:tc>
          <w:tcPr>
            <w:tcW w:type="dxa" w:w="2400"/>
            <w:tcBorders>
              <w:top w:val="single" w:color="FFFFFF" w:sz="1"/>
              <w:left w:val="single" w:color="FFFFFF" w:sz="1"/>
              <w:bottom w:val="single" w:color="FFFFFF" w:sz="1"/>
              <w:right w:val="single" w:color="FFFFFF" w:sz="1"/>
            </w:tcBorders>
            <w:shd w:fill="1F3864" w:val="clear"/>
            <w:tcMar>
              <w:top w:type="dxa" w:w="60"/>
              <w:left w:type="dxa" w:w="80"/>
              <w:bottom w:type="dxa" w:w="60"/>
              <w:right w:type="dxa" w:w="80"/>
            </w:tcMar>
            <w:vAlign w:val="center"/>
          </w:tcPr>
          <w:p>
            <w:pPr>
              <w:spacing w:after="40" w:before="40"/>
              <w:jc w:val="center"/>
            </w:pPr>
            <w:r>
              <w:rPr>
                <w:rFonts w:ascii="Arial" w:cs="Arial" w:eastAsia="Arial" w:hAnsi="Arial"/>
                <w:b/>
                <w:bCs/>
                <w:color w:val="FFFFFF"/>
                <w:sz w:val="17"/>
                <w:szCs w:val="17"/>
              </w:rPr>
              <w:t xml:space="preserve">Nama Lokasi</w:t>
            </w:r>
          </w:p>
        </w:tc>
        <w:tc>
          <w:tcPr>
            <w:tcW w:type="dxa" w:w="1326"/>
            <w:tcBorders>
              <w:top w:val="single" w:color="FFFFFF" w:sz="1"/>
              <w:left w:val="single" w:color="FFFFFF" w:sz="1"/>
              <w:bottom w:val="single" w:color="FFFFFF" w:sz="1"/>
              <w:right w:val="single" w:color="FFFFFF" w:sz="1"/>
            </w:tcBorders>
            <w:shd w:fill="1F3864" w:val="clear"/>
            <w:tcMar>
              <w:top w:type="dxa" w:w="60"/>
              <w:left w:type="dxa" w:w="80"/>
              <w:bottom w:type="dxa" w:w="60"/>
              <w:right w:type="dxa" w:w="80"/>
            </w:tcMar>
            <w:vAlign w:val="center"/>
          </w:tcPr>
          <w:p>
            <w:pPr>
              <w:spacing w:after="40" w:before="40"/>
              <w:jc w:val="center"/>
            </w:pPr>
            <w:r>
              <w:rPr>
                <w:rFonts w:ascii="Arial" w:cs="Arial" w:eastAsia="Arial" w:hAnsi="Arial"/>
                <w:b/>
                <w:bCs/>
                <w:color w:val="FFFFFF"/>
                <w:sz w:val="17"/>
                <w:szCs w:val="17"/>
              </w:rPr>
              <w:t xml:space="preserve">Jalan</w:t>
            </w:r>
          </w:p>
        </w:tc>
        <w:tc>
          <w:tcPr>
            <w:tcW w:type="dxa" w:w="1500"/>
            <w:tcBorders>
              <w:top w:val="single" w:color="FFFFFF" w:sz="1"/>
              <w:left w:val="single" w:color="FFFFFF" w:sz="1"/>
              <w:bottom w:val="single" w:color="FFFFFF" w:sz="1"/>
              <w:right w:val="single" w:color="FFFFFF" w:sz="1"/>
            </w:tcBorders>
            <w:shd w:fill="1F3864" w:val="clear"/>
            <w:tcMar>
              <w:top w:type="dxa" w:w="60"/>
              <w:left w:type="dxa" w:w="80"/>
              <w:bottom w:type="dxa" w:w="60"/>
              <w:right w:type="dxa" w:w="80"/>
            </w:tcMar>
            <w:vAlign w:val="center"/>
          </w:tcPr>
          <w:p>
            <w:pPr>
              <w:spacing w:after="40" w:before="40"/>
              <w:jc w:val="center"/>
            </w:pPr>
            <w:r>
              <w:rPr>
                <w:rFonts w:ascii="Arial" w:cs="Arial" w:eastAsia="Arial" w:hAnsi="Arial"/>
                <w:b/>
                <w:bCs/>
                <w:color w:val="FFFFFF"/>
                <w:sz w:val="17"/>
                <w:szCs w:val="17"/>
              </w:rPr>
              <w:t xml:space="preserve">Kelurahan</w:t>
            </w:r>
          </w:p>
        </w:tc>
        <w:tc>
          <w:tcPr>
            <w:tcW w:type="dxa" w:w="1500"/>
            <w:tcBorders>
              <w:top w:val="single" w:color="FFFFFF" w:sz="1"/>
              <w:left w:val="single" w:color="FFFFFF" w:sz="1"/>
              <w:bottom w:val="single" w:color="FFFFFF" w:sz="1"/>
              <w:right w:val="single" w:color="FFFFFF" w:sz="1"/>
            </w:tcBorders>
            <w:shd w:fill="1F3864" w:val="clear"/>
            <w:tcMar>
              <w:top w:type="dxa" w:w="60"/>
              <w:left w:type="dxa" w:w="80"/>
              <w:bottom w:type="dxa" w:w="60"/>
              <w:right w:type="dxa" w:w="80"/>
            </w:tcMar>
            <w:vAlign w:val="center"/>
          </w:tcPr>
          <w:p>
            <w:pPr>
              <w:spacing w:after="40" w:before="40"/>
              <w:jc w:val="center"/>
            </w:pPr>
            <w:r>
              <w:rPr>
                <w:rFonts w:ascii="Arial" w:cs="Arial" w:eastAsia="Arial" w:hAnsi="Arial"/>
                <w:b/>
                <w:bCs/>
                <w:color w:val="FFFFFF"/>
                <w:sz w:val="17"/>
                <w:szCs w:val="17"/>
              </w:rPr>
              <w:t xml:space="preserve">Kecamatan</w:t>
            </w:r>
          </w:p>
        </w:tc>
        <w:tc>
          <w:tcPr>
            <w:tcW w:type="dxa" w:w="1000"/>
            <w:tcBorders>
              <w:top w:val="single" w:color="FFFFFF" w:sz="1"/>
              <w:left w:val="single" w:color="FFFFFF" w:sz="1"/>
              <w:bottom w:val="single" w:color="FFFFFF" w:sz="1"/>
              <w:right w:val="single" w:color="FFFFFF" w:sz="1"/>
            </w:tcBorders>
            <w:shd w:fill="1F3864" w:val="clear"/>
            <w:tcMar>
              <w:top w:type="dxa" w:w="60"/>
              <w:left w:type="dxa" w:w="80"/>
              <w:bottom w:type="dxa" w:w="60"/>
              <w:right w:type="dxa" w:w="80"/>
            </w:tcMar>
            <w:vAlign w:val="center"/>
          </w:tcPr>
          <w:p>
            <w:pPr>
              <w:spacing w:after="40" w:before="40"/>
              <w:jc w:val="center"/>
            </w:pPr>
            <w:r>
              <w:rPr>
                <w:rFonts w:ascii="Arial" w:cs="Arial" w:eastAsia="Arial" w:hAnsi="Arial"/>
                <w:b/>
                <w:bCs/>
                <w:color w:val="FFFFFF"/>
                <w:sz w:val="17"/>
                <w:szCs w:val="17"/>
              </w:rPr>
              <w:t xml:space="preserve">Kota/Kab</w:t>
            </w:r>
          </w:p>
        </w:tc>
      </w:tr>
      <w:tr>
        <w:tc>
          <w:tcPr>
            <w:tcW w:type="dxa" w:w="13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80"/>
            </w:tcMar>
            <w:vAlign w:val="center"/>
          </w:tcPr>
          <w:p>
            <w:pPr>
              <w:spacing w:after="30" w:before="30"/>
              <w:jc w:val="left"/>
            </w:pPr>
            <w:r>
              <w:rPr>
                <w:rFonts w:ascii="Arial" w:cs="Arial" w:eastAsia="Arial" w:hAnsi="Arial"/>
                <w:b/>
                <w:bCs/>
                <w:color w:val="000000"/>
                <w:sz w:val="17"/>
                <w:szCs w:val="17"/>
              </w:rPr>
              <w:t xml:space="preserve">TERBAIK</w:t>
            </w:r>
          </w:p>
        </w:tc>
        <w:tc>
          <w:tcPr>
            <w:tcW w:type="dxa" w:w="24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Kawasan Industri Jln. Merdeka Barat – Muara Dua</w:t>
            </w:r>
          </w:p>
        </w:tc>
        <w:tc>
          <w:tcPr>
            <w:tcW w:type="dxa" w:w="1326"/>
            <w:tcBorders>
              <w:top w:val="single" w:color="CCCCCC" w:sz="1"/>
              <w:left w:val="single" w:color="CCCCCC" w:sz="1"/>
              <w:bottom w:val="single" w:color="CCCCCC" w:sz="1"/>
              <w:right w:val="single" w:color="CCCCCC" w:sz="1"/>
            </w:tcBorders>
            <w:shd w:fill="E2EFDA"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Jl. Merdeka Barat (Jalan Nasional Lintas Timur Sumatera)</w:t>
            </w:r>
          </w:p>
        </w:tc>
        <w:tc>
          <w:tcPr>
            <w:tcW w:type="dxa" w:w="15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Mon Geudong</w:t>
            </w:r>
          </w:p>
        </w:tc>
        <w:tc>
          <w:tcPr>
            <w:tcW w:type="dxa" w:w="15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Banda Sakti</w:t>
            </w:r>
          </w:p>
        </w:tc>
        <w:tc>
          <w:tcPr>
            <w:tcW w:type="dxa" w:w="10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Kota Lhokseumawe</w:t>
            </w:r>
          </w:p>
        </w:tc>
      </w:tr>
      <w:tr>
        <w:tc>
          <w:tcPr>
            <w:tcW w:type="dxa" w:w="13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ALTERNATIF 1</w:t>
            </w:r>
          </w:p>
        </w:tc>
        <w:tc>
          <w:tcPr>
            <w:tcW w:type="dxa" w:w="24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Pergudangan Jln. Banda Aceh – Medan KM 275</w:t>
            </w:r>
          </w:p>
        </w:tc>
        <w:tc>
          <w:tcPr>
            <w:tcW w:type="dxa" w:w="1326"/>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Jl. Banda Aceh – Medan (Nasional), KM 275</w:t>
            </w:r>
          </w:p>
        </w:tc>
        <w:tc>
          <w:tcPr>
            <w:tcW w:type="dxa" w:w="15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Hagu Selatan</w:t>
            </w:r>
          </w:p>
        </w:tc>
        <w:tc>
          <w:tcPr>
            <w:tcW w:type="dxa" w:w="15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Banda Sakti</w:t>
            </w:r>
          </w:p>
        </w:tc>
        <w:tc>
          <w:tcPr>
            <w:tcW w:type="dxa" w:w="10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Kota Lhokseumawe</w:t>
            </w:r>
          </w:p>
        </w:tc>
      </w:tr>
      <w:tr>
        <w:tc>
          <w:tcPr>
            <w:tcW w:type="dxa" w:w="13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ALTERNATIF 2</w:t>
            </w:r>
          </w:p>
        </w:tc>
        <w:tc>
          <w:tcPr>
            <w:tcW w:type="dxa" w:w="24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Kawasan Batuphat – Muara Dua</w:t>
            </w:r>
          </w:p>
        </w:tc>
        <w:tc>
          <w:tcPr>
            <w:tcW w:type="dxa" w:w="1326"/>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Jl. Batuphat Barat</w:t>
            </w:r>
          </w:p>
        </w:tc>
        <w:tc>
          <w:tcPr>
            <w:tcW w:type="dxa" w:w="15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Batuphat Barat</w:t>
            </w:r>
          </w:p>
        </w:tc>
        <w:tc>
          <w:tcPr>
            <w:tcW w:type="dxa" w:w="15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Muara Dua</w:t>
            </w:r>
          </w:p>
        </w:tc>
        <w:tc>
          <w:tcPr>
            <w:tcW w:type="dxa" w:w="10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Kota Lhokseumawe</w:t>
            </w:r>
          </w:p>
        </w:tc>
      </w:tr>
      <w:tr>
        <w:tc>
          <w:tcPr>
            <w:tcW w:type="dxa" w:w="13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ALTERNATIF 3</w:t>
            </w:r>
          </w:p>
        </w:tc>
        <w:tc>
          <w:tcPr>
            <w:tcW w:type="dxa" w:w="24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Simpang Jln. Iskandar Muda – Ring Road Lhokseumawe</w:t>
            </w:r>
          </w:p>
        </w:tc>
        <w:tc>
          <w:tcPr>
            <w:tcW w:type="dxa" w:w="1326"/>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Jl. Iskandar Muda / Ring Road Lhokseumawe</w:t>
            </w:r>
          </w:p>
        </w:tc>
        <w:tc>
          <w:tcPr>
            <w:tcW w:type="dxa" w:w="15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Keude Aceh</w:t>
            </w:r>
          </w:p>
        </w:tc>
        <w:tc>
          <w:tcPr>
            <w:tcW w:type="dxa" w:w="15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Banda Sakti</w:t>
            </w:r>
          </w:p>
        </w:tc>
        <w:tc>
          <w:tcPr>
            <w:tcW w:type="dxa" w:w="10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Kota Lhokseumawe</w:t>
            </w:r>
          </w:p>
        </w:tc>
      </w:tr>
    </w:tbl>
    <w:p>
      <w:pPr>
        <w:spacing w:after="60" w:before="60"/>
      </w:pPr>
      <w:r>
        <w:rPr>
          <w:rFonts w:ascii="Arial" w:cs="Arial" w:eastAsia="Arial" w:hAnsi="Arial"/>
          <w:b w:val="false"/>
          <w:bCs w:val="false"/>
          <w:i w:val="false"/>
          <w:iCs w:val="false"/>
          <w:color w:val="000000"/>
          <w:sz w:val="20"/>
          <w:szCs w:val="20"/>
        </w:rPr>
        <w:t xml:space="preserve"/>
      </w:r>
    </w:p>
    <w:p>
      <w:pPr>
        <w:pStyle w:val="Heading3"/>
        <w:spacing w:after="60" w:before="160"/>
      </w:pPr>
      <w:r>
        <w:rPr>
          <w:rFonts w:ascii="Arial" w:cs="Arial" w:eastAsia="Arial" w:hAnsi="Arial"/>
          <w:b/>
          <w:bCs/>
          <w:color w:val="2E4057"/>
          <w:sz w:val="22"/>
          <w:szCs w:val="22"/>
        </w:rPr>
        <w:t xml:space="preserve">Analisis Detail per Kandidat</w:t>
      </w:r>
    </w:p>
    <w:p>
      <w:pPr>
        <w:spacing w:after="40" w:before="120"/>
      </w:pPr>
      <w:r>
        <w:rPr>
          <w:rFonts w:ascii="Arial" w:cs="Arial" w:eastAsia="Arial" w:hAnsi="Arial"/>
          <w:b/>
          <w:bCs/>
          <w:color w:val="27ae60"/>
          <w:sz w:val="20"/>
          <w:szCs w:val="20"/>
        </w:rPr>
        <w:t xml:space="preserve">TERBAIK: </w:t>
      </w:r>
      <w:r>
        <w:rPr>
          <w:rFonts w:ascii="Arial" w:cs="Arial" w:eastAsia="Arial" w:hAnsi="Arial"/>
          <w:b/>
          <w:bCs/>
          <w:sz w:val="20"/>
          <w:szCs w:val="20"/>
        </w:rPr>
        <w:t xml:space="preserve">Kawasan Industri Jln. Merdeka Barat – Muara Dua</w:t>
      </w:r>
    </w:p>
    <w:p>
      <w:pPr>
        <w:spacing w:after="80" w:before="40"/>
        <w:jc w:val="both"/>
      </w:pPr>
      <w:r>
        <w:rPr>
          <w:rFonts w:ascii="Arial" w:cs="Arial" w:eastAsia="Arial" w:hAnsi="Arial"/>
          <w:sz w:val="20"/>
          <w:szCs w:val="20"/>
        </w:rPr>
        <w:t xml:space="preserve">Koordinat: 5.1801, 97.1502 | Jl. Merdeka Barat (Jalan Nasional Lintas Timur Sumatera) | Mon Geudong, Banda Sakti, Kota Lhokseumawe, Aceh</w:t>
      </w:r>
    </w:p>
    <w:p>
      <w:pPr>
        <w:spacing w:after="80" w:before="40"/>
        <w:jc w:val="both"/>
      </w:pPr>
      <w:r>
        <w:rPr>
          <w:rFonts w:ascii="Arial" w:cs="Arial" w:eastAsia="Arial" w:hAnsi="Arial"/>
          <w:sz w:val="20"/>
          <w:szCs w:val="20"/>
        </w:rPr>
        <w:t xml:space="preserve">Deskripsi: Berlokasi di sisi Jalan Nasional Lintas Timur Sumatera, kawasan industri aktif berdekatan dengan KEK Arun Lhokseumawe. Infrastruktur jalan industri berat sudah tersedia, akses truk isotank tidak terkendala. Dekat pelabuhan dan fasilitas logistik.</w:t>
      </w:r>
    </w:p>
    <w:p>
      <w:pPr>
        <w:spacing w:after="80" w:before="40"/>
        <w:jc w:val="both"/>
      </w:pPr>
      <w:r>
        <w:rPr>
          <w:rFonts w:ascii="Arial" w:cs="Arial" w:eastAsia="Arial" w:hAnsi="Arial"/>
          <w:sz w:val="20"/>
          <w:szCs w:val="20"/>
        </w:rPr>
        <w:t xml:space="preserve">Alasan Pemilihan: Posisi sentral Kota Lhokseumawe; akses langsung jalan nasional tanpa masuk permukiman; sinergi dengan zona industri KEK Arun; infrastruktur logistik memadai; potensi permintaan tertinggi di kota.</w:t>
      </w:r>
    </w:p>
    <w:p>
      <w:pPr>
        <w:spacing w:after="80" w:before="40"/>
        <w:jc w:val="both"/>
      </w:pPr>
      <w:r>
        <w:rPr>
          <w:rFonts w:ascii="Arial" w:cs="Arial" w:eastAsia="Arial" w:hAnsi="Arial"/>
          <w:sz w:val="20"/>
          <w:szCs w:val="20"/>
        </w:rPr>
        <w:t xml:space="preserve">Metrik: Jarak dari Arun 11.4 km | Waktu tempuh 0j 15m | Biaya BBM Mix Rp 31.280 | Skor WLS: 8.78/10,00</w:t>
      </w:r>
    </w:p>
    <w:p>
      <w:pPr>
        <w:spacing w:after="40" w:before="120"/>
      </w:pPr>
      <w:r>
        <w:rPr>
          <w:rFonts w:ascii="Arial" w:cs="Arial" w:eastAsia="Arial" w:hAnsi="Arial"/>
          <w:b/>
          <w:bCs/>
          <w:color w:val="2E75B6"/>
          <w:sz w:val="20"/>
          <w:szCs w:val="20"/>
        </w:rPr>
        <w:t xml:space="preserve">ALTERNATIF 1: </w:t>
      </w:r>
      <w:r>
        <w:rPr>
          <w:rFonts w:ascii="Arial" w:cs="Arial" w:eastAsia="Arial" w:hAnsi="Arial"/>
          <w:b/>
          <w:bCs/>
          <w:sz w:val="20"/>
          <w:szCs w:val="20"/>
        </w:rPr>
        <w:t xml:space="preserve">Pergudangan Jln. Banda Aceh – Medan KM 275</w:t>
      </w:r>
    </w:p>
    <w:p>
      <w:pPr>
        <w:spacing w:after="80" w:before="40"/>
        <w:jc w:val="both"/>
      </w:pPr>
      <w:r>
        <w:rPr>
          <w:rFonts w:ascii="Arial" w:cs="Arial" w:eastAsia="Arial" w:hAnsi="Arial"/>
          <w:sz w:val="20"/>
          <w:szCs w:val="20"/>
        </w:rPr>
        <w:t xml:space="preserve">Koordinat: 5.1900, 97.1280 | Jl. Banda Aceh – Medan (Nasional), KM 275 | Hagu Selatan, Banda Sakti, Kota Lhokseumawe, Aceh</w:t>
      </w:r>
    </w:p>
    <w:p>
      <w:pPr>
        <w:spacing w:after="80" w:before="40"/>
        <w:jc w:val="both"/>
      </w:pPr>
      <w:r>
        <w:rPr>
          <w:rFonts w:ascii="Arial" w:cs="Arial" w:eastAsia="Arial" w:hAnsi="Arial"/>
          <w:sz w:val="20"/>
          <w:szCs w:val="20"/>
        </w:rPr>
        <w:t xml:space="preserve">Deskripsi: Area pergudangan dan perdagangan di sisi jalan nasional utama KM 275. Dekat exit tol rencana. Kawasan semi-industri dengan ketersediaan gudang dan ruang terbuka.</w:t>
      </w:r>
    </w:p>
    <w:p>
      <w:pPr>
        <w:spacing w:after="80" w:before="40"/>
        <w:jc w:val="both"/>
      </w:pPr>
      <w:r>
        <w:rPr>
          <w:rFonts w:ascii="Arial" w:cs="Arial" w:eastAsia="Arial" w:hAnsi="Arial"/>
          <w:sz w:val="20"/>
          <w:szCs w:val="20"/>
        </w:rPr>
        <w:t xml:space="preserve">Alasan Pemilihan: Akses langsung jalan nasional; area pergudangan komersial tersedia; dekat simpang distribusi ke pedalaman Aceh Tengah via Bireuen–Takengon.</w:t>
      </w:r>
    </w:p>
    <w:p>
      <w:pPr>
        <w:spacing w:after="80" w:before="40"/>
        <w:jc w:val="both"/>
      </w:pPr>
      <w:r>
        <w:rPr>
          <w:rFonts w:ascii="Arial" w:cs="Arial" w:eastAsia="Arial" w:hAnsi="Arial"/>
          <w:sz w:val="20"/>
          <w:szCs w:val="20"/>
        </w:rPr>
        <w:t xml:space="preserve">Metrik: Jarak dari Arun 7.8 km | Waktu tempuh 0j 10m | Biaya BBM Mix Rp 21.280 | Skor WLS: 8.78/10,00</w:t>
      </w:r>
    </w:p>
    <w:p>
      <w:pPr>
        <w:spacing w:after="40" w:before="120"/>
      </w:pPr>
      <w:r>
        <w:rPr>
          <w:rFonts w:ascii="Arial" w:cs="Arial" w:eastAsia="Arial" w:hAnsi="Arial"/>
          <w:b/>
          <w:bCs/>
          <w:color w:val="2E75B6"/>
          <w:sz w:val="20"/>
          <w:szCs w:val="20"/>
        </w:rPr>
        <w:t xml:space="preserve">ALTERNATIF 2: </w:t>
      </w:r>
      <w:r>
        <w:rPr>
          <w:rFonts w:ascii="Arial" w:cs="Arial" w:eastAsia="Arial" w:hAnsi="Arial"/>
          <w:b/>
          <w:bCs/>
          <w:sz w:val="20"/>
          <w:szCs w:val="20"/>
        </w:rPr>
        <w:t xml:space="preserve">Kawasan Batuphat – Muara Dua</w:t>
      </w:r>
    </w:p>
    <w:p>
      <w:pPr>
        <w:spacing w:after="80" w:before="40"/>
        <w:jc w:val="both"/>
      </w:pPr>
      <w:r>
        <w:rPr>
          <w:rFonts w:ascii="Arial" w:cs="Arial" w:eastAsia="Arial" w:hAnsi="Arial"/>
          <w:sz w:val="20"/>
          <w:szCs w:val="20"/>
        </w:rPr>
        <w:t xml:space="preserve">Koordinat: 5.2050, 97.1100 | Jl. Batuphat Barat | Batuphat Barat, Muara Dua, Kota Lhokseumawe, Aceh</w:t>
      </w:r>
    </w:p>
    <w:p>
      <w:pPr>
        <w:spacing w:after="80" w:before="40"/>
        <w:jc w:val="both"/>
      </w:pPr>
      <w:r>
        <w:rPr>
          <w:rFonts w:ascii="Arial" w:cs="Arial" w:eastAsia="Arial" w:hAnsi="Arial"/>
          <w:sz w:val="20"/>
          <w:szCs w:val="20"/>
        </w:rPr>
        <w:t xml:space="preserve">Deskripsi: Kawasan industri Batuphat, berdekatan dengan kilang dan industri petrokimia. Infrastruktur jalan industri berat sudah kuat. Zona industri resmi – risiko regulasi pembangunan fasilitas energi rendah.</w:t>
      </w:r>
    </w:p>
    <w:p>
      <w:pPr>
        <w:spacing w:after="80" w:before="40"/>
        <w:jc w:val="both"/>
      </w:pPr>
      <w:r>
        <w:rPr>
          <w:rFonts w:ascii="Arial" w:cs="Arial" w:eastAsia="Arial" w:hAnsi="Arial"/>
          <w:sz w:val="20"/>
          <w:szCs w:val="20"/>
        </w:rPr>
        <w:t xml:space="preserve">Alasan Pemilihan: Sinergi regulasi zona industri energi KEK Arun; infrastruktur jalan industri berat sudah tersedia; kemudahan perizinan operasional LNG.</w:t>
      </w:r>
    </w:p>
    <w:p>
      <w:pPr>
        <w:spacing w:after="80" w:before="40"/>
        <w:jc w:val="both"/>
      </w:pPr>
      <w:r>
        <w:rPr>
          <w:rFonts w:ascii="Arial" w:cs="Arial" w:eastAsia="Arial" w:hAnsi="Arial"/>
          <w:sz w:val="20"/>
          <w:szCs w:val="20"/>
        </w:rPr>
        <w:t xml:space="preserve">Metrik: Jarak dari Arun 4.3 km | Waktu tempuh 0j 6m | Biaya BBM Mix Rp 11.760 | Skor WLS: 8.85/10,00</w:t>
      </w:r>
    </w:p>
    <w:p>
      <w:pPr>
        <w:spacing w:after="40" w:before="120"/>
      </w:pPr>
      <w:r>
        <w:rPr>
          <w:rFonts w:ascii="Arial" w:cs="Arial" w:eastAsia="Arial" w:hAnsi="Arial"/>
          <w:b/>
          <w:bCs/>
          <w:color w:val="2E75B6"/>
          <w:sz w:val="20"/>
          <w:szCs w:val="20"/>
        </w:rPr>
        <w:t xml:space="preserve">ALTERNATIF 3: </w:t>
      </w:r>
      <w:r>
        <w:rPr>
          <w:rFonts w:ascii="Arial" w:cs="Arial" w:eastAsia="Arial" w:hAnsi="Arial"/>
          <w:b/>
          <w:bCs/>
          <w:sz w:val="20"/>
          <w:szCs w:val="20"/>
        </w:rPr>
        <w:t xml:space="preserve">Simpang Jln. Iskandar Muda – Ring Road Lhokseumawe</w:t>
      </w:r>
    </w:p>
    <w:p>
      <w:pPr>
        <w:spacing w:after="80" w:before="40"/>
        <w:jc w:val="both"/>
      </w:pPr>
      <w:r>
        <w:rPr>
          <w:rFonts w:ascii="Arial" w:cs="Arial" w:eastAsia="Arial" w:hAnsi="Arial"/>
          <w:sz w:val="20"/>
          <w:szCs w:val="20"/>
        </w:rPr>
        <w:t xml:space="preserve">Koordinat: 5.1650, 97.1420 | Jl. Iskandar Muda / Ring Road Lhokseumawe | Keude Aceh, Banda Sakti, Kota Lhokseumawe, Aceh</w:t>
      </w:r>
    </w:p>
    <w:p>
      <w:pPr>
        <w:spacing w:after="80" w:before="40"/>
        <w:jc w:val="both"/>
      </w:pPr>
      <w:r>
        <w:rPr>
          <w:rFonts w:ascii="Arial" w:cs="Arial" w:eastAsia="Arial" w:hAnsi="Arial"/>
          <w:sz w:val="20"/>
          <w:szCs w:val="20"/>
        </w:rPr>
        <w:t xml:space="preserve">Deskripsi: Simpang strategis dekat pusat kota Lhokseumawe dengan akses ke ring road. Mudah dijangkau dari berbagai arah kota. Kawasan komersial aktif.</w:t>
      </w:r>
    </w:p>
    <w:p>
      <w:pPr>
        <w:spacing w:after="80" w:before="40"/>
        <w:jc w:val="both"/>
      </w:pPr>
      <w:r>
        <w:rPr>
          <w:rFonts w:ascii="Arial" w:cs="Arial" w:eastAsia="Arial" w:hAnsi="Arial"/>
          <w:sz w:val="20"/>
          <w:szCs w:val="20"/>
        </w:rPr>
        <w:t xml:space="preserve">Alasan Pemilihan: Jangkauan distribusi ke seluruh kota lebih merata; dekat pusat permintaan pelanggan; akses multi-arah dari ring road.</w:t>
      </w:r>
    </w:p>
    <w:p>
      <w:pPr>
        <w:spacing w:after="80" w:before="40"/>
        <w:jc w:val="both"/>
      </w:pPr>
      <w:r>
        <w:rPr>
          <w:rFonts w:ascii="Arial" w:cs="Arial" w:eastAsia="Arial" w:hAnsi="Arial"/>
          <w:sz w:val="20"/>
          <w:szCs w:val="20"/>
        </w:rPr>
        <w:t xml:space="preserve">Metrik: Jarak dari Arun 11.9 km | Waktu tempuh 0j 16m | Biaya BBM Mix Rp 32.640 | Skor WLS: 8.03/10,00</w:t>
      </w:r>
    </w:p>
    <w:p>
      <w:r>
        <w:br w:type="page"/>
      </w:r>
    </w:p>
    <w:p>
      <w:pPr>
        <w:pStyle w:val="Heading2"/>
        <w:spacing w:after="80" w:before="200"/>
      </w:pPr>
      <w:r>
        <w:rPr>
          <w:rFonts w:ascii="Arial" w:cs="Arial" w:eastAsia="Arial" w:hAnsi="Arial"/>
          <w:b/>
          <w:bCs/>
          <w:color w:val="2E75B6"/>
          <w:sz w:val="24"/>
          <w:szCs w:val="24"/>
        </w:rPr>
        <w:t xml:space="preserve">5.2 Bireuen</w:t>
      </w:r>
    </w:p>
    <w:p>
      <w:pPr>
        <w:spacing w:after="80" w:before="40"/>
        <w:jc w:val="both"/>
      </w:pPr>
      <w:r>
        <w:rPr>
          <w:rFonts w:ascii="Arial" w:cs="Arial" w:eastAsia="Arial" w:hAnsi="Arial"/>
          <w:sz w:val="20"/>
          <w:szCs w:val="20"/>
        </w:rPr>
        <w:t xml:space="preserve">Kabupaten Bireuen terletak di posisi sentral antara Lhokseumawe dan Sigli di koridor jalan nasional lintas Sumatera. Posisi strategis ini menjadikan Bireuen sebagai titik distribusi yang efisien untuk melayani wilayah tengah sekaligus sebagai penghubung ke pedalaman Aceh Tengah via Jl. Bireuen–Takengon. Jarak dari Arun ~55–62 km.</w:t>
      </w:r>
    </w:p>
    <w:p>
      <w:pPr>
        <w:pStyle w:val="Heading3"/>
        <w:spacing w:after="60" w:before="160"/>
      </w:pPr>
      <w:r>
        <w:rPr>
          <w:rFonts w:ascii="Arial" w:cs="Arial" w:eastAsia="Arial" w:hAnsi="Arial"/>
          <w:b/>
          <w:bCs/>
          <w:color w:val="2E4057"/>
          <w:sz w:val="22"/>
          <w:szCs w:val="22"/>
        </w:rPr>
        <w:t xml:space="preserve">Data Metrik Kandidat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1100"/>
        <w:gridCol w:w="1100"/>
        <w:gridCol w:w="1100"/>
        <w:gridCol w:w="1100"/>
        <w:gridCol w:w="1226"/>
      </w:tblGrid>
      <w:tr>
        <w:trPr>
          <w:tblHeader/>
        </w:trPr>
        <w:tc>
          <w:tcPr>
            <w:tcW w:type="dxa" w:w="1200"/>
            <w:tcBorders>
              <w:top w:val="single" w:color="FFFFFF" w:sz="1"/>
              <w:left w:val="single" w:color="FFFFFF" w:sz="1"/>
              <w:bottom w:val="single" w:color="FFFFFF" w:sz="1"/>
              <w:right w:val="single" w:color="FFFFFF" w:sz="1"/>
            </w:tcBorders>
            <w:shd w:fill="1F3864" w:val="clear"/>
            <w:tcMar>
              <w:top w:type="dxa" w:w="60"/>
              <w:left w:type="dxa" w:w="80"/>
              <w:bottom w:type="dxa" w:w="60"/>
              <w:right w:type="dxa" w:w="80"/>
            </w:tcMar>
            <w:vAlign w:val="center"/>
          </w:tcPr>
          <w:p>
            <w:pPr>
              <w:spacing w:after="40" w:before="40"/>
              <w:jc w:val="center"/>
            </w:pPr>
            <w:r>
              <w:rPr>
                <w:rFonts w:ascii="Arial" w:cs="Arial" w:eastAsia="Arial" w:hAnsi="Arial"/>
                <w:b/>
                <w:bCs/>
                <w:color w:val="FFFFFF"/>
                <w:sz w:val="17"/>
                <w:szCs w:val="17"/>
              </w:rPr>
              <w:t xml:space="preserve">Peringkat</w:t>
            </w:r>
          </w:p>
        </w:tc>
        <w:tc>
          <w:tcPr>
            <w:tcW w:type="dxa" w:w="1100"/>
            <w:tcBorders>
              <w:top w:val="single" w:color="FFFFFF" w:sz="1"/>
              <w:left w:val="single" w:color="FFFFFF" w:sz="1"/>
              <w:bottom w:val="single" w:color="FFFFFF" w:sz="1"/>
              <w:right w:val="single" w:color="FFFFFF" w:sz="1"/>
            </w:tcBorders>
            <w:shd w:fill="1F3864" w:val="clear"/>
            <w:tcMar>
              <w:top w:type="dxa" w:w="60"/>
              <w:left w:type="dxa" w:w="80"/>
              <w:bottom w:type="dxa" w:w="60"/>
              <w:right w:type="dxa" w:w="80"/>
            </w:tcMar>
            <w:vAlign w:val="center"/>
          </w:tcPr>
          <w:p>
            <w:pPr>
              <w:spacing w:after="40" w:before="40"/>
              <w:jc w:val="center"/>
            </w:pPr>
            <w:r>
              <w:rPr>
                <w:rFonts w:ascii="Arial" w:cs="Arial" w:eastAsia="Arial" w:hAnsi="Arial"/>
                <w:b/>
                <w:bCs/>
                <w:color w:val="FFFFFF"/>
                <w:sz w:val="17"/>
                <w:szCs w:val="17"/>
              </w:rPr>
              <w:t xml:space="preserve">Latitude</w:t>
            </w:r>
          </w:p>
        </w:tc>
        <w:tc>
          <w:tcPr>
            <w:tcW w:type="dxa" w:w="1100"/>
            <w:tcBorders>
              <w:top w:val="single" w:color="FFFFFF" w:sz="1"/>
              <w:left w:val="single" w:color="FFFFFF" w:sz="1"/>
              <w:bottom w:val="single" w:color="FFFFFF" w:sz="1"/>
              <w:right w:val="single" w:color="FFFFFF" w:sz="1"/>
            </w:tcBorders>
            <w:shd w:fill="1F3864" w:val="clear"/>
            <w:tcMar>
              <w:top w:type="dxa" w:w="60"/>
              <w:left w:type="dxa" w:w="80"/>
              <w:bottom w:type="dxa" w:w="60"/>
              <w:right w:type="dxa" w:w="80"/>
            </w:tcMar>
            <w:vAlign w:val="center"/>
          </w:tcPr>
          <w:p>
            <w:pPr>
              <w:spacing w:after="40" w:before="40"/>
              <w:jc w:val="center"/>
            </w:pPr>
            <w:r>
              <w:rPr>
                <w:rFonts w:ascii="Arial" w:cs="Arial" w:eastAsia="Arial" w:hAnsi="Arial"/>
                <w:b/>
                <w:bCs/>
                <w:color w:val="FFFFFF"/>
                <w:sz w:val="17"/>
                <w:szCs w:val="17"/>
              </w:rPr>
              <w:t xml:space="preserve">Longitude</w:t>
            </w:r>
          </w:p>
        </w:tc>
        <w:tc>
          <w:tcPr>
            <w:tcW w:type="dxa" w:w="1100"/>
            <w:tcBorders>
              <w:top w:val="single" w:color="FFFFFF" w:sz="1"/>
              <w:left w:val="single" w:color="FFFFFF" w:sz="1"/>
              <w:bottom w:val="single" w:color="FFFFFF" w:sz="1"/>
              <w:right w:val="single" w:color="FFFFFF" w:sz="1"/>
            </w:tcBorders>
            <w:shd w:fill="1F3864" w:val="clear"/>
            <w:tcMar>
              <w:top w:type="dxa" w:w="60"/>
              <w:left w:type="dxa" w:w="80"/>
              <w:bottom w:type="dxa" w:w="60"/>
              <w:right w:type="dxa" w:w="80"/>
            </w:tcMar>
            <w:vAlign w:val="center"/>
          </w:tcPr>
          <w:p>
            <w:pPr>
              <w:spacing w:after="40" w:before="40"/>
              <w:jc w:val="center"/>
            </w:pPr>
            <w:r>
              <w:rPr>
                <w:rFonts w:ascii="Arial" w:cs="Arial" w:eastAsia="Arial" w:hAnsi="Arial"/>
                <w:b/>
                <w:bCs/>
                <w:color w:val="FFFFFF"/>
                <w:sz w:val="17"/>
                <w:szCs w:val="17"/>
              </w:rPr>
              <w:t xml:space="preserve">Jarak Arun (km)</w:t>
            </w:r>
          </w:p>
        </w:tc>
        <w:tc>
          <w:tcPr>
            <w:tcW w:type="dxa" w:w="1100"/>
            <w:tcBorders>
              <w:top w:val="single" w:color="FFFFFF" w:sz="1"/>
              <w:left w:val="single" w:color="FFFFFF" w:sz="1"/>
              <w:bottom w:val="single" w:color="FFFFFF" w:sz="1"/>
              <w:right w:val="single" w:color="FFFFFF" w:sz="1"/>
            </w:tcBorders>
            <w:shd w:fill="1F3864" w:val="clear"/>
            <w:tcMar>
              <w:top w:type="dxa" w:w="60"/>
              <w:left w:type="dxa" w:w="80"/>
              <w:bottom w:type="dxa" w:w="60"/>
              <w:right w:type="dxa" w:w="80"/>
            </w:tcMar>
            <w:vAlign w:val="center"/>
          </w:tcPr>
          <w:p>
            <w:pPr>
              <w:spacing w:after="40" w:before="40"/>
              <w:jc w:val="center"/>
            </w:pPr>
            <w:r>
              <w:rPr>
                <w:rFonts w:ascii="Arial" w:cs="Arial" w:eastAsia="Arial" w:hAnsi="Arial"/>
                <w:b/>
                <w:bCs/>
                <w:color w:val="FFFFFF"/>
                <w:sz w:val="17"/>
                <w:szCs w:val="17"/>
              </w:rPr>
              <w:t xml:space="preserve">Waktu Arun</w:t>
            </w:r>
          </w:p>
        </w:tc>
        <w:tc>
          <w:tcPr>
            <w:tcW w:type="dxa" w:w="1100"/>
            <w:tcBorders>
              <w:top w:val="single" w:color="FFFFFF" w:sz="1"/>
              <w:left w:val="single" w:color="FFFFFF" w:sz="1"/>
              <w:bottom w:val="single" w:color="FFFFFF" w:sz="1"/>
              <w:right w:val="single" w:color="FFFFFF" w:sz="1"/>
            </w:tcBorders>
            <w:shd w:fill="1F3864" w:val="clear"/>
            <w:tcMar>
              <w:top w:type="dxa" w:w="60"/>
              <w:left w:type="dxa" w:w="80"/>
              <w:bottom w:type="dxa" w:w="60"/>
              <w:right w:type="dxa" w:w="80"/>
            </w:tcMar>
            <w:vAlign w:val="center"/>
          </w:tcPr>
          <w:p>
            <w:pPr>
              <w:spacing w:after="40" w:before="40"/>
              <w:jc w:val="center"/>
            </w:pPr>
            <w:r>
              <w:rPr>
                <w:rFonts w:ascii="Arial" w:cs="Arial" w:eastAsia="Arial" w:hAnsi="Arial"/>
                <w:b/>
                <w:bCs/>
                <w:color w:val="FFFFFF"/>
                <w:sz w:val="17"/>
                <w:szCs w:val="17"/>
              </w:rPr>
              <w:t xml:space="preserve">Biaya Mix (Rp)</w:t>
            </w:r>
          </w:p>
        </w:tc>
        <w:tc>
          <w:tcPr>
            <w:tcW w:type="dxa" w:w="1226"/>
            <w:tcBorders>
              <w:top w:val="single" w:color="FFFFFF" w:sz="1"/>
              <w:left w:val="single" w:color="FFFFFF" w:sz="1"/>
              <w:bottom w:val="single" w:color="FFFFFF" w:sz="1"/>
              <w:right w:val="single" w:color="FFFFFF" w:sz="1"/>
            </w:tcBorders>
            <w:shd w:fill="1F3864" w:val="clear"/>
            <w:tcMar>
              <w:top w:type="dxa" w:w="60"/>
              <w:left w:type="dxa" w:w="80"/>
              <w:bottom w:type="dxa" w:w="60"/>
              <w:right w:type="dxa" w:w="80"/>
            </w:tcMar>
            <w:vAlign w:val="center"/>
          </w:tcPr>
          <w:p>
            <w:pPr>
              <w:spacing w:after="40" w:before="40"/>
              <w:jc w:val="center"/>
            </w:pPr>
            <w:r>
              <w:rPr>
                <w:rFonts w:ascii="Arial" w:cs="Arial" w:eastAsia="Arial" w:hAnsi="Arial"/>
                <w:b/>
                <w:bCs/>
                <w:color w:val="FFFFFF"/>
                <w:sz w:val="17"/>
                <w:szCs w:val="17"/>
              </w:rPr>
              <w:t xml:space="preserve">Skor WLS</w:t>
            </w:r>
          </w:p>
        </w:tc>
      </w:tr>
      <w:tr>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80"/>
            </w:tcMar>
            <w:vAlign w:val="center"/>
          </w:tcPr>
          <w:p>
            <w:pPr>
              <w:spacing w:after="30" w:before="30"/>
              <w:jc w:val="center"/>
            </w:pPr>
            <w:r>
              <w:rPr>
                <w:rFonts w:ascii="Arial" w:cs="Arial" w:eastAsia="Arial" w:hAnsi="Arial"/>
                <w:b/>
                <w:bCs/>
                <w:color w:val="000000"/>
                <w:sz w:val="17"/>
                <w:szCs w:val="17"/>
              </w:rPr>
              <w:t xml:space="preserve">TERBAIK</w:t>
            </w:r>
          </w:p>
        </w:tc>
        <w:tc>
          <w:tcPr>
            <w:tcW w:type="dxa" w:w="11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5.2070</w:t>
            </w:r>
          </w:p>
        </w:tc>
        <w:tc>
          <w:tcPr>
            <w:tcW w:type="dxa" w:w="11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96.7050</w:t>
            </w:r>
          </w:p>
        </w:tc>
        <w:tc>
          <w:tcPr>
            <w:tcW w:type="dxa" w:w="11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57.2 km</w:t>
            </w:r>
          </w:p>
        </w:tc>
        <w:tc>
          <w:tcPr>
            <w:tcW w:type="dxa" w:w="11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1j 16m</w:t>
            </w:r>
          </w:p>
        </w:tc>
        <w:tc>
          <w:tcPr>
            <w:tcW w:type="dxa" w:w="11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Rp 156.800</w:t>
            </w:r>
          </w:p>
        </w:tc>
        <w:tc>
          <w:tcPr>
            <w:tcW w:type="dxa" w:w="1226"/>
            <w:tcBorders>
              <w:top w:val="single" w:color="CCCCCC" w:sz="1"/>
              <w:left w:val="single" w:color="CCCCCC" w:sz="1"/>
              <w:bottom w:val="single" w:color="CCCCCC" w:sz="1"/>
              <w:right w:val="single" w:color="CCCCCC" w:sz="1"/>
            </w:tcBorders>
            <w:shd w:fill="E2EFDA" w:val="clear"/>
            <w:tcMar>
              <w:top w:type="dxa" w:w="60"/>
              <w:left w:type="dxa" w:w="100"/>
              <w:bottom w:type="dxa" w:w="60"/>
              <w:right w:type="dxa" w:w="80"/>
            </w:tcMar>
            <w:vAlign w:val="center"/>
          </w:tcPr>
          <w:p>
            <w:pPr>
              <w:spacing w:after="30" w:before="30"/>
              <w:jc w:val="center"/>
            </w:pPr>
            <w:r>
              <w:rPr>
                <w:rFonts w:ascii="Arial" w:cs="Arial" w:eastAsia="Arial" w:hAnsi="Arial"/>
                <w:b/>
                <w:bCs/>
                <w:color w:val="000000"/>
                <w:sz w:val="17"/>
                <w:szCs w:val="17"/>
              </w:rPr>
              <w:t xml:space="preserve">8.22</w:t>
            </w:r>
          </w:p>
        </w:tc>
      </w:tr>
      <w:tr>
        <w:tc>
          <w:tcPr>
            <w:tcW w:type="dxa" w:w="1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ALTERNATIF 1</w:t>
            </w:r>
          </w:p>
        </w:tc>
        <w:tc>
          <w:tcPr>
            <w:tcW w:type="dxa" w:w="11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5.2000</w:t>
            </w:r>
          </w:p>
        </w:tc>
        <w:tc>
          <w:tcPr>
            <w:tcW w:type="dxa" w:w="11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96.6900</w:t>
            </w:r>
          </w:p>
        </w:tc>
        <w:tc>
          <w:tcPr>
            <w:tcW w:type="dxa" w:w="11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59.5 km</w:t>
            </w:r>
          </w:p>
        </w:tc>
        <w:tc>
          <w:tcPr>
            <w:tcW w:type="dxa" w:w="11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1j 19m</w:t>
            </w:r>
          </w:p>
        </w:tc>
        <w:tc>
          <w:tcPr>
            <w:tcW w:type="dxa" w:w="11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Rp 163.120</w:t>
            </w:r>
          </w:p>
        </w:tc>
        <w:tc>
          <w:tcPr>
            <w:tcW w:type="dxa" w:w="1226"/>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7.83</w:t>
            </w:r>
          </w:p>
        </w:tc>
      </w:tr>
      <w:tr>
        <w:tc>
          <w:tcPr>
            <w:tcW w:type="dxa" w:w="1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ALTERNATIF 2</w:t>
            </w:r>
          </w:p>
        </w:tc>
        <w:tc>
          <w:tcPr>
            <w:tcW w:type="dxa" w:w="11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5.2100</w:t>
            </w:r>
          </w:p>
        </w:tc>
        <w:tc>
          <w:tcPr>
            <w:tcW w:type="dxa" w:w="11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96.6750</w:t>
            </w:r>
          </w:p>
        </w:tc>
        <w:tc>
          <w:tcPr>
            <w:tcW w:type="dxa" w:w="11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61.7 km</w:t>
            </w:r>
          </w:p>
        </w:tc>
        <w:tc>
          <w:tcPr>
            <w:tcW w:type="dxa" w:w="11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1j 22m</w:t>
            </w:r>
          </w:p>
        </w:tc>
        <w:tc>
          <w:tcPr>
            <w:tcW w:type="dxa" w:w="11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Rp 169.040</w:t>
            </w:r>
          </w:p>
        </w:tc>
        <w:tc>
          <w:tcPr>
            <w:tcW w:type="dxa" w:w="1226"/>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7.30</w:t>
            </w:r>
          </w:p>
        </w:tc>
      </w:tr>
      <w:tr>
        <w:tc>
          <w:tcPr>
            <w:tcW w:type="dxa" w:w="1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ALTERNATIF 3</w:t>
            </w:r>
          </w:p>
        </w:tc>
        <w:tc>
          <w:tcPr>
            <w:tcW w:type="dxa" w:w="11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5.2150</w:t>
            </w:r>
          </w:p>
        </w:tc>
        <w:tc>
          <w:tcPr>
            <w:tcW w:type="dxa" w:w="11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96.7200</w:t>
            </w:r>
          </w:p>
        </w:tc>
        <w:tc>
          <w:tcPr>
            <w:tcW w:type="dxa" w:w="11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54.9 km</w:t>
            </w:r>
          </w:p>
        </w:tc>
        <w:tc>
          <w:tcPr>
            <w:tcW w:type="dxa" w:w="11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1j 13m</w:t>
            </w:r>
          </w:p>
        </w:tc>
        <w:tc>
          <w:tcPr>
            <w:tcW w:type="dxa" w:w="11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Rp 150.640</w:t>
            </w:r>
          </w:p>
        </w:tc>
        <w:tc>
          <w:tcPr>
            <w:tcW w:type="dxa" w:w="1226"/>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8.12</w:t>
            </w:r>
          </w:p>
        </w:tc>
      </w:tr>
    </w:tbl>
    <w:p>
      <w:pPr>
        <w:spacing w:after="60" w:before="60"/>
      </w:pPr>
      <w:r>
        <w:rPr>
          <w:rFonts w:ascii="Arial" w:cs="Arial" w:eastAsia="Arial" w:hAnsi="Arial"/>
          <w:b w:val="false"/>
          <w:bCs w:val="false"/>
          <w:i w:val="false"/>
          <w:iCs w:val="false"/>
          <w:color w:val="000000"/>
          <w:sz w:val="20"/>
          <w:szCs w:val="20"/>
        </w:rPr>
        <w:t xml:space="preserve"/>
      </w:r>
    </w:p>
    <w:p>
      <w:pPr>
        <w:pStyle w:val="Heading3"/>
        <w:spacing w:after="60" w:before="160"/>
      </w:pPr>
      <w:r>
        <w:rPr>
          <w:rFonts w:ascii="Arial" w:cs="Arial" w:eastAsia="Arial" w:hAnsi="Arial"/>
          <w:b/>
          <w:bCs/>
          <w:color w:val="2E4057"/>
          <w:sz w:val="22"/>
          <w:szCs w:val="22"/>
        </w:rPr>
        <w:t xml:space="preserve">Alamat Lengkap Kandidat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1326"/>
        <w:gridCol w:w="1500"/>
        <w:gridCol w:w="1500"/>
        <w:gridCol w:w="1000"/>
      </w:tblGrid>
      <w:tr>
        <w:trPr>
          <w:tblHeader/>
        </w:trPr>
        <w:tc>
          <w:tcPr>
            <w:tcW w:type="dxa" w:w="1300"/>
            <w:tcBorders>
              <w:top w:val="single" w:color="FFFFFF" w:sz="1"/>
              <w:left w:val="single" w:color="FFFFFF" w:sz="1"/>
              <w:bottom w:val="single" w:color="FFFFFF" w:sz="1"/>
              <w:right w:val="single" w:color="FFFFFF" w:sz="1"/>
            </w:tcBorders>
            <w:shd w:fill="1F3864" w:val="clear"/>
            <w:tcMar>
              <w:top w:type="dxa" w:w="60"/>
              <w:left w:type="dxa" w:w="80"/>
              <w:bottom w:type="dxa" w:w="60"/>
              <w:right w:type="dxa" w:w="80"/>
            </w:tcMar>
            <w:vAlign w:val="center"/>
          </w:tcPr>
          <w:p>
            <w:pPr>
              <w:spacing w:after="40" w:before="40"/>
              <w:jc w:val="center"/>
            </w:pPr>
            <w:r>
              <w:rPr>
                <w:rFonts w:ascii="Arial" w:cs="Arial" w:eastAsia="Arial" w:hAnsi="Arial"/>
                <w:b/>
                <w:bCs/>
                <w:color w:val="FFFFFF"/>
                <w:sz w:val="17"/>
                <w:szCs w:val="17"/>
              </w:rPr>
              <w:t xml:space="preserve">Peringkat</w:t>
            </w:r>
          </w:p>
        </w:tc>
        <w:tc>
          <w:tcPr>
            <w:tcW w:type="dxa" w:w="2400"/>
            <w:tcBorders>
              <w:top w:val="single" w:color="FFFFFF" w:sz="1"/>
              <w:left w:val="single" w:color="FFFFFF" w:sz="1"/>
              <w:bottom w:val="single" w:color="FFFFFF" w:sz="1"/>
              <w:right w:val="single" w:color="FFFFFF" w:sz="1"/>
            </w:tcBorders>
            <w:shd w:fill="1F3864" w:val="clear"/>
            <w:tcMar>
              <w:top w:type="dxa" w:w="60"/>
              <w:left w:type="dxa" w:w="80"/>
              <w:bottom w:type="dxa" w:w="60"/>
              <w:right w:type="dxa" w:w="80"/>
            </w:tcMar>
            <w:vAlign w:val="center"/>
          </w:tcPr>
          <w:p>
            <w:pPr>
              <w:spacing w:after="40" w:before="40"/>
              <w:jc w:val="center"/>
            </w:pPr>
            <w:r>
              <w:rPr>
                <w:rFonts w:ascii="Arial" w:cs="Arial" w:eastAsia="Arial" w:hAnsi="Arial"/>
                <w:b/>
                <w:bCs/>
                <w:color w:val="FFFFFF"/>
                <w:sz w:val="17"/>
                <w:szCs w:val="17"/>
              </w:rPr>
              <w:t xml:space="preserve">Nama Lokasi</w:t>
            </w:r>
          </w:p>
        </w:tc>
        <w:tc>
          <w:tcPr>
            <w:tcW w:type="dxa" w:w="1326"/>
            <w:tcBorders>
              <w:top w:val="single" w:color="FFFFFF" w:sz="1"/>
              <w:left w:val="single" w:color="FFFFFF" w:sz="1"/>
              <w:bottom w:val="single" w:color="FFFFFF" w:sz="1"/>
              <w:right w:val="single" w:color="FFFFFF" w:sz="1"/>
            </w:tcBorders>
            <w:shd w:fill="1F3864" w:val="clear"/>
            <w:tcMar>
              <w:top w:type="dxa" w:w="60"/>
              <w:left w:type="dxa" w:w="80"/>
              <w:bottom w:type="dxa" w:w="60"/>
              <w:right w:type="dxa" w:w="80"/>
            </w:tcMar>
            <w:vAlign w:val="center"/>
          </w:tcPr>
          <w:p>
            <w:pPr>
              <w:spacing w:after="40" w:before="40"/>
              <w:jc w:val="center"/>
            </w:pPr>
            <w:r>
              <w:rPr>
                <w:rFonts w:ascii="Arial" w:cs="Arial" w:eastAsia="Arial" w:hAnsi="Arial"/>
                <w:b/>
                <w:bCs/>
                <w:color w:val="FFFFFF"/>
                <w:sz w:val="17"/>
                <w:szCs w:val="17"/>
              </w:rPr>
              <w:t xml:space="preserve">Jalan</w:t>
            </w:r>
          </w:p>
        </w:tc>
        <w:tc>
          <w:tcPr>
            <w:tcW w:type="dxa" w:w="1500"/>
            <w:tcBorders>
              <w:top w:val="single" w:color="FFFFFF" w:sz="1"/>
              <w:left w:val="single" w:color="FFFFFF" w:sz="1"/>
              <w:bottom w:val="single" w:color="FFFFFF" w:sz="1"/>
              <w:right w:val="single" w:color="FFFFFF" w:sz="1"/>
            </w:tcBorders>
            <w:shd w:fill="1F3864" w:val="clear"/>
            <w:tcMar>
              <w:top w:type="dxa" w:w="60"/>
              <w:left w:type="dxa" w:w="80"/>
              <w:bottom w:type="dxa" w:w="60"/>
              <w:right w:type="dxa" w:w="80"/>
            </w:tcMar>
            <w:vAlign w:val="center"/>
          </w:tcPr>
          <w:p>
            <w:pPr>
              <w:spacing w:after="40" w:before="40"/>
              <w:jc w:val="center"/>
            </w:pPr>
            <w:r>
              <w:rPr>
                <w:rFonts w:ascii="Arial" w:cs="Arial" w:eastAsia="Arial" w:hAnsi="Arial"/>
                <w:b/>
                <w:bCs/>
                <w:color w:val="FFFFFF"/>
                <w:sz w:val="17"/>
                <w:szCs w:val="17"/>
              </w:rPr>
              <w:t xml:space="preserve">Kelurahan</w:t>
            </w:r>
          </w:p>
        </w:tc>
        <w:tc>
          <w:tcPr>
            <w:tcW w:type="dxa" w:w="1500"/>
            <w:tcBorders>
              <w:top w:val="single" w:color="FFFFFF" w:sz="1"/>
              <w:left w:val="single" w:color="FFFFFF" w:sz="1"/>
              <w:bottom w:val="single" w:color="FFFFFF" w:sz="1"/>
              <w:right w:val="single" w:color="FFFFFF" w:sz="1"/>
            </w:tcBorders>
            <w:shd w:fill="1F3864" w:val="clear"/>
            <w:tcMar>
              <w:top w:type="dxa" w:w="60"/>
              <w:left w:type="dxa" w:w="80"/>
              <w:bottom w:type="dxa" w:w="60"/>
              <w:right w:type="dxa" w:w="80"/>
            </w:tcMar>
            <w:vAlign w:val="center"/>
          </w:tcPr>
          <w:p>
            <w:pPr>
              <w:spacing w:after="40" w:before="40"/>
              <w:jc w:val="center"/>
            </w:pPr>
            <w:r>
              <w:rPr>
                <w:rFonts w:ascii="Arial" w:cs="Arial" w:eastAsia="Arial" w:hAnsi="Arial"/>
                <w:b/>
                <w:bCs/>
                <w:color w:val="FFFFFF"/>
                <w:sz w:val="17"/>
                <w:szCs w:val="17"/>
              </w:rPr>
              <w:t xml:space="preserve">Kecamatan</w:t>
            </w:r>
          </w:p>
        </w:tc>
        <w:tc>
          <w:tcPr>
            <w:tcW w:type="dxa" w:w="1000"/>
            <w:tcBorders>
              <w:top w:val="single" w:color="FFFFFF" w:sz="1"/>
              <w:left w:val="single" w:color="FFFFFF" w:sz="1"/>
              <w:bottom w:val="single" w:color="FFFFFF" w:sz="1"/>
              <w:right w:val="single" w:color="FFFFFF" w:sz="1"/>
            </w:tcBorders>
            <w:shd w:fill="1F3864" w:val="clear"/>
            <w:tcMar>
              <w:top w:type="dxa" w:w="60"/>
              <w:left w:type="dxa" w:w="80"/>
              <w:bottom w:type="dxa" w:w="60"/>
              <w:right w:type="dxa" w:w="80"/>
            </w:tcMar>
            <w:vAlign w:val="center"/>
          </w:tcPr>
          <w:p>
            <w:pPr>
              <w:spacing w:after="40" w:before="40"/>
              <w:jc w:val="center"/>
            </w:pPr>
            <w:r>
              <w:rPr>
                <w:rFonts w:ascii="Arial" w:cs="Arial" w:eastAsia="Arial" w:hAnsi="Arial"/>
                <w:b/>
                <w:bCs/>
                <w:color w:val="FFFFFF"/>
                <w:sz w:val="17"/>
                <w:szCs w:val="17"/>
              </w:rPr>
              <w:t xml:space="preserve">Kota/Kab</w:t>
            </w:r>
          </w:p>
        </w:tc>
      </w:tr>
      <w:tr>
        <w:tc>
          <w:tcPr>
            <w:tcW w:type="dxa" w:w="13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80"/>
            </w:tcMar>
            <w:vAlign w:val="center"/>
          </w:tcPr>
          <w:p>
            <w:pPr>
              <w:spacing w:after="30" w:before="30"/>
              <w:jc w:val="left"/>
            </w:pPr>
            <w:r>
              <w:rPr>
                <w:rFonts w:ascii="Arial" w:cs="Arial" w:eastAsia="Arial" w:hAnsi="Arial"/>
                <w:b/>
                <w:bCs/>
                <w:color w:val="000000"/>
                <w:sz w:val="17"/>
                <w:szCs w:val="17"/>
              </w:rPr>
              <w:t xml:space="preserve">TERBAIK</w:t>
            </w:r>
          </w:p>
        </w:tc>
        <w:tc>
          <w:tcPr>
            <w:tcW w:type="dxa" w:w="24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Kawasan Industri Jln. Nasional Bireuen Timur</w:t>
            </w:r>
          </w:p>
        </w:tc>
        <w:tc>
          <w:tcPr>
            <w:tcW w:type="dxa" w:w="1326"/>
            <w:tcBorders>
              <w:top w:val="single" w:color="CCCCCC" w:sz="1"/>
              <w:left w:val="single" w:color="CCCCCC" w:sz="1"/>
              <w:bottom w:val="single" w:color="CCCCCC" w:sz="1"/>
              <w:right w:val="single" w:color="CCCCCC" w:sz="1"/>
            </w:tcBorders>
            <w:shd w:fill="E2EFDA"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Jl. Nasional Banda Aceh – Medan (Lintas Timur Sumatera)</w:t>
            </w:r>
          </w:p>
        </w:tc>
        <w:tc>
          <w:tcPr>
            <w:tcW w:type="dxa" w:w="15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Geulanggang Teungoh</w:t>
            </w:r>
          </w:p>
        </w:tc>
        <w:tc>
          <w:tcPr>
            <w:tcW w:type="dxa" w:w="15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Kota Juang</w:t>
            </w:r>
          </w:p>
        </w:tc>
        <w:tc>
          <w:tcPr>
            <w:tcW w:type="dxa" w:w="10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Kabupaten Bireuen</w:t>
            </w:r>
          </w:p>
        </w:tc>
      </w:tr>
      <w:tr>
        <w:tc>
          <w:tcPr>
            <w:tcW w:type="dxa" w:w="13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ALTERNATIF 1</w:t>
            </w:r>
          </w:p>
        </w:tc>
        <w:tc>
          <w:tcPr>
            <w:tcW w:type="dxa" w:w="24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Simpang Jln. Bireuen – Takengon, Pinggir Jalan Nasional</w:t>
            </w:r>
          </w:p>
        </w:tc>
        <w:tc>
          <w:tcPr>
            <w:tcW w:type="dxa" w:w="1326"/>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Jl. Bireuen – Takengon / Jl. Nasional</w:t>
            </w:r>
          </w:p>
        </w:tc>
        <w:tc>
          <w:tcPr>
            <w:tcW w:type="dxa" w:w="15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Bireuen Meunasah Capa</w:t>
            </w:r>
          </w:p>
        </w:tc>
        <w:tc>
          <w:tcPr>
            <w:tcW w:type="dxa" w:w="15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Kota Juang</w:t>
            </w:r>
          </w:p>
        </w:tc>
        <w:tc>
          <w:tcPr>
            <w:tcW w:type="dxa" w:w="10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Kabupaten Bireuen</w:t>
            </w:r>
          </w:p>
        </w:tc>
      </w:tr>
      <w:tr>
        <w:tc>
          <w:tcPr>
            <w:tcW w:type="dxa" w:w="13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ALTERNATIF 2</w:t>
            </w:r>
          </w:p>
        </w:tc>
        <w:tc>
          <w:tcPr>
            <w:tcW w:type="dxa" w:w="24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Kawasan Barat Bireuen – Jln. Medan – Banda Aceh</w:t>
            </w:r>
          </w:p>
        </w:tc>
        <w:tc>
          <w:tcPr>
            <w:tcW w:type="dxa" w:w="1326"/>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Jl. Banda Aceh – Medan (Nasional)</w:t>
            </w:r>
          </w:p>
        </w:tc>
        <w:tc>
          <w:tcPr>
            <w:tcW w:type="dxa" w:w="15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Bireuen Meunasah Blang</w:t>
            </w:r>
          </w:p>
        </w:tc>
        <w:tc>
          <w:tcPr>
            <w:tcW w:type="dxa" w:w="15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Kota Juang</w:t>
            </w:r>
          </w:p>
        </w:tc>
        <w:tc>
          <w:tcPr>
            <w:tcW w:type="dxa" w:w="10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Kabupaten Bireuen</w:t>
            </w:r>
          </w:p>
        </w:tc>
      </w:tr>
      <w:tr>
        <w:tc>
          <w:tcPr>
            <w:tcW w:type="dxa" w:w="13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ALTERNATIF 3</w:t>
            </w:r>
          </w:p>
        </w:tc>
        <w:tc>
          <w:tcPr>
            <w:tcW w:type="dxa" w:w="24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Kawasan Timur Bireuen – Jln. Nasional Lintas Timur</w:t>
            </w:r>
          </w:p>
        </w:tc>
        <w:tc>
          <w:tcPr>
            <w:tcW w:type="dxa" w:w="1326"/>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Jl. Nasional Lintas Timur Sumatera</w:t>
            </w:r>
          </w:p>
        </w:tc>
        <w:tc>
          <w:tcPr>
            <w:tcW w:type="dxa" w:w="15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Geulanggang Baro</w:t>
            </w:r>
          </w:p>
        </w:tc>
        <w:tc>
          <w:tcPr>
            <w:tcW w:type="dxa" w:w="15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Kota Juang</w:t>
            </w:r>
          </w:p>
        </w:tc>
        <w:tc>
          <w:tcPr>
            <w:tcW w:type="dxa" w:w="10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Kabupaten Bireuen</w:t>
            </w:r>
          </w:p>
        </w:tc>
      </w:tr>
    </w:tbl>
    <w:p>
      <w:pPr>
        <w:spacing w:after="60" w:before="60"/>
      </w:pPr>
      <w:r>
        <w:rPr>
          <w:rFonts w:ascii="Arial" w:cs="Arial" w:eastAsia="Arial" w:hAnsi="Arial"/>
          <w:b w:val="false"/>
          <w:bCs w:val="false"/>
          <w:i w:val="false"/>
          <w:iCs w:val="false"/>
          <w:color w:val="000000"/>
          <w:sz w:val="20"/>
          <w:szCs w:val="20"/>
        </w:rPr>
        <w:t xml:space="preserve"/>
      </w:r>
    </w:p>
    <w:p>
      <w:pPr>
        <w:pStyle w:val="Heading3"/>
        <w:spacing w:after="60" w:before="160"/>
      </w:pPr>
      <w:r>
        <w:rPr>
          <w:rFonts w:ascii="Arial" w:cs="Arial" w:eastAsia="Arial" w:hAnsi="Arial"/>
          <w:b/>
          <w:bCs/>
          <w:color w:val="2E4057"/>
          <w:sz w:val="22"/>
          <w:szCs w:val="22"/>
        </w:rPr>
        <w:t xml:space="preserve">Analisis Detail per Kandidat</w:t>
      </w:r>
    </w:p>
    <w:p>
      <w:pPr>
        <w:spacing w:after="40" w:before="120"/>
      </w:pPr>
      <w:r>
        <w:rPr>
          <w:rFonts w:ascii="Arial" w:cs="Arial" w:eastAsia="Arial" w:hAnsi="Arial"/>
          <w:b/>
          <w:bCs/>
          <w:color w:val="27ae60"/>
          <w:sz w:val="20"/>
          <w:szCs w:val="20"/>
        </w:rPr>
        <w:t xml:space="preserve">TERBAIK: </w:t>
      </w:r>
      <w:r>
        <w:rPr>
          <w:rFonts w:ascii="Arial" w:cs="Arial" w:eastAsia="Arial" w:hAnsi="Arial"/>
          <w:b/>
          <w:bCs/>
          <w:sz w:val="20"/>
          <w:szCs w:val="20"/>
        </w:rPr>
        <w:t xml:space="preserve">Kawasan Industri Jln. Nasional Bireuen Timur</w:t>
      </w:r>
    </w:p>
    <w:p>
      <w:pPr>
        <w:spacing w:after="80" w:before="40"/>
        <w:jc w:val="both"/>
      </w:pPr>
      <w:r>
        <w:rPr>
          <w:rFonts w:ascii="Arial" w:cs="Arial" w:eastAsia="Arial" w:hAnsi="Arial"/>
          <w:sz w:val="20"/>
          <w:szCs w:val="20"/>
        </w:rPr>
        <w:t xml:space="preserve">Koordinat: 5.2070, 96.7050 | Jl. Nasional Banda Aceh – Medan (Lintas Timur Sumatera) | Geulanggang Teungoh, Kota Juang, Kabupaten Bireuen, Aceh</w:t>
      </w:r>
    </w:p>
    <w:p>
      <w:pPr>
        <w:spacing w:after="80" w:before="40"/>
        <w:jc w:val="both"/>
      </w:pPr>
      <w:r>
        <w:rPr>
          <w:rFonts w:ascii="Arial" w:cs="Arial" w:eastAsia="Arial" w:hAnsi="Arial"/>
          <w:sz w:val="20"/>
          <w:szCs w:val="20"/>
        </w:rPr>
        <w:t xml:space="preserve">Deskripsi: Tepat di sisi jalan nasional lintas Sumatera bagian timur Bireuen. Kawasan pergudangan dan industri ringan. Titik persimpangan strategis ke Takengon (Aceh Tengah) via Jl. Bireuen–Takengon yang telah dilebarkan.</w:t>
      </w:r>
    </w:p>
    <w:p>
      <w:pPr>
        <w:spacing w:after="80" w:before="40"/>
        <w:jc w:val="both"/>
      </w:pPr>
      <w:r>
        <w:rPr>
          <w:rFonts w:ascii="Arial" w:cs="Arial" w:eastAsia="Arial" w:hAnsi="Arial"/>
          <w:sz w:val="20"/>
          <w:szCs w:val="20"/>
        </w:rPr>
        <w:t xml:space="preserve">Alasan Pemilihan: Posisi centroid distribusi optimal antara Lhokseumawe dan Sigli; akses ke jalan Bireuen–Takengon untuk menjangkau pedalaman; simpang distribusi multi-arah; infrastruktur jalan nasional baik.</w:t>
      </w:r>
    </w:p>
    <w:p>
      <w:pPr>
        <w:spacing w:after="80" w:before="40"/>
        <w:jc w:val="both"/>
      </w:pPr>
      <w:r>
        <w:rPr>
          <w:rFonts w:ascii="Arial" w:cs="Arial" w:eastAsia="Arial" w:hAnsi="Arial"/>
          <w:sz w:val="20"/>
          <w:szCs w:val="20"/>
        </w:rPr>
        <w:t xml:space="preserve">Metrik: Jarak dari Arun 57.2 km | Waktu tempuh 1j 16m | Biaya BBM Mix Rp 156.800 | Skor WLS: 8.22/10,00</w:t>
      </w:r>
    </w:p>
    <w:p>
      <w:pPr>
        <w:spacing w:after="40" w:before="120"/>
      </w:pPr>
      <w:r>
        <w:rPr>
          <w:rFonts w:ascii="Arial" w:cs="Arial" w:eastAsia="Arial" w:hAnsi="Arial"/>
          <w:b/>
          <w:bCs/>
          <w:color w:val="2E75B6"/>
          <w:sz w:val="20"/>
          <w:szCs w:val="20"/>
        </w:rPr>
        <w:t xml:space="preserve">ALTERNATIF 1: </w:t>
      </w:r>
      <w:r>
        <w:rPr>
          <w:rFonts w:ascii="Arial" w:cs="Arial" w:eastAsia="Arial" w:hAnsi="Arial"/>
          <w:b/>
          <w:bCs/>
          <w:sz w:val="20"/>
          <w:szCs w:val="20"/>
        </w:rPr>
        <w:t xml:space="preserve">Simpang Jln. Bireuen – Takengon, Pinggir Jalan Nasional</w:t>
      </w:r>
    </w:p>
    <w:p>
      <w:pPr>
        <w:spacing w:after="80" w:before="40"/>
        <w:jc w:val="both"/>
      </w:pPr>
      <w:r>
        <w:rPr>
          <w:rFonts w:ascii="Arial" w:cs="Arial" w:eastAsia="Arial" w:hAnsi="Arial"/>
          <w:sz w:val="20"/>
          <w:szCs w:val="20"/>
        </w:rPr>
        <w:t xml:space="preserve">Koordinat: 5.2000, 96.6900 | Jl. Bireuen – Takengon / Jl. Nasional | Bireuen Meunasah Capa, Kota Juang, Kabupaten Bireuen, Aceh</w:t>
      </w:r>
    </w:p>
    <w:p>
      <w:pPr>
        <w:spacing w:after="80" w:before="40"/>
        <w:jc w:val="both"/>
      </w:pPr>
      <w:r>
        <w:rPr>
          <w:rFonts w:ascii="Arial" w:cs="Arial" w:eastAsia="Arial" w:hAnsi="Arial"/>
          <w:sz w:val="20"/>
          <w:szCs w:val="20"/>
        </w:rPr>
        <w:t xml:space="preserve">Deskripsi: Simpang strategis pada persimpangan jalan nasional lintas timur dengan Jl. Bireuen–Takengon. Akses jalan 2 lajur pasca pelebaran oleh PUPR 2021.</w:t>
      </w:r>
    </w:p>
    <w:p>
      <w:pPr>
        <w:spacing w:after="80" w:before="40"/>
        <w:jc w:val="both"/>
      </w:pPr>
      <w:r>
        <w:rPr>
          <w:rFonts w:ascii="Arial" w:cs="Arial" w:eastAsia="Arial" w:hAnsi="Arial"/>
          <w:sz w:val="20"/>
          <w:szCs w:val="20"/>
        </w:rPr>
        <w:t xml:space="preserve">Alasan Pemilihan: Menjangkau pelanggan Aceh Tengah &amp; Bener Meriah dari satu titik; posisi simpang distribusi multi-arah.</w:t>
      </w:r>
    </w:p>
    <w:p>
      <w:pPr>
        <w:spacing w:after="80" w:before="40"/>
        <w:jc w:val="both"/>
      </w:pPr>
      <w:r>
        <w:rPr>
          <w:rFonts w:ascii="Arial" w:cs="Arial" w:eastAsia="Arial" w:hAnsi="Arial"/>
          <w:sz w:val="20"/>
          <w:szCs w:val="20"/>
        </w:rPr>
        <w:t xml:space="preserve">Metrik: Jarak dari Arun 59.5 km | Waktu tempuh 1j 19m | Biaya BBM Mix Rp 163.120 | Skor WLS: 7.83/10,00</w:t>
      </w:r>
    </w:p>
    <w:p>
      <w:pPr>
        <w:spacing w:after="40" w:before="120"/>
      </w:pPr>
      <w:r>
        <w:rPr>
          <w:rFonts w:ascii="Arial" w:cs="Arial" w:eastAsia="Arial" w:hAnsi="Arial"/>
          <w:b/>
          <w:bCs/>
          <w:color w:val="2E75B6"/>
          <w:sz w:val="20"/>
          <w:szCs w:val="20"/>
        </w:rPr>
        <w:t xml:space="preserve">ALTERNATIF 2: </w:t>
      </w:r>
      <w:r>
        <w:rPr>
          <w:rFonts w:ascii="Arial" w:cs="Arial" w:eastAsia="Arial" w:hAnsi="Arial"/>
          <w:b/>
          <w:bCs/>
          <w:sz w:val="20"/>
          <w:szCs w:val="20"/>
        </w:rPr>
        <w:t xml:space="preserve">Kawasan Barat Bireuen – Jln. Medan – Banda Aceh</w:t>
      </w:r>
    </w:p>
    <w:p>
      <w:pPr>
        <w:spacing w:after="80" w:before="40"/>
        <w:jc w:val="both"/>
      </w:pPr>
      <w:r>
        <w:rPr>
          <w:rFonts w:ascii="Arial" w:cs="Arial" w:eastAsia="Arial" w:hAnsi="Arial"/>
          <w:sz w:val="20"/>
          <w:szCs w:val="20"/>
        </w:rPr>
        <w:t xml:space="preserve">Koordinat: 5.2100, 96.6750 | Jl. Banda Aceh – Medan (Nasional) | Bireuen Meunasah Blang, Kota Juang, Kabupaten Bireuen, Aceh</w:t>
      </w:r>
    </w:p>
    <w:p>
      <w:pPr>
        <w:spacing w:after="80" w:before="40"/>
        <w:jc w:val="both"/>
      </w:pPr>
      <w:r>
        <w:rPr>
          <w:rFonts w:ascii="Arial" w:cs="Arial" w:eastAsia="Arial" w:hAnsi="Arial"/>
          <w:sz w:val="20"/>
          <w:szCs w:val="20"/>
        </w:rPr>
        <w:t xml:space="preserve">Deskripsi: Pinggiran barat Kota Bireuen di sisi jalan nasional. Lahan lebih luas dan harga lebih terjangkau dibanding pusat kota.</w:t>
      </w:r>
    </w:p>
    <w:p>
      <w:pPr>
        <w:spacing w:after="80" w:before="40"/>
        <w:jc w:val="both"/>
      </w:pPr>
      <w:r>
        <w:rPr>
          <w:rFonts w:ascii="Arial" w:cs="Arial" w:eastAsia="Arial" w:hAnsi="Arial"/>
          <w:sz w:val="20"/>
          <w:szCs w:val="20"/>
        </w:rPr>
        <w:t xml:space="preserve">Alasan Pemilihan: Lahan industri tersedia lebih luas; biaya operasional lebih rendah; akses jalan nasional tetap baik.</w:t>
      </w:r>
    </w:p>
    <w:p>
      <w:pPr>
        <w:spacing w:after="80" w:before="40"/>
        <w:jc w:val="both"/>
      </w:pPr>
      <w:r>
        <w:rPr>
          <w:rFonts w:ascii="Arial" w:cs="Arial" w:eastAsia="Arial" w:hAnsi="Arial"/>
          <w:sz w:val="20"/>
          <w:szCs w:val="20"/>
        </w:rPr>
        <w:t xml:space="preserve">Metrik: Jarak dari Arun 61.7 km | Waktu tempuh 1j 22m | Biaya BBM Mix Rp 169.040 | Skor WLS: 7.30/10,00</w:t>
      </w:r>
    </w:p>
    <w:p>
      <w:pPr>
        <w:spacing w:after="40" w:before="120"/>
      </w:pPr>
      <w:r>
        <w:rPr>
          <w:rFonts w:ascii="Arial" w:cs="Arial" w:eastAsia="Arial" w:hAnsi="Arial"/>
          <w:b/>
          <w:bCs/>
          <w:color w:val="2E75B6"/>
          <w:sz w:val="20"/>
          <w:szCs w:val="20"/>
        </w:rPr>
        <w:t xml:space="preserve">ALTERNATIF 3: </w:t>
      </w:r>
      <w:r>
        <w:rPr>
          <w:rFonts w:ascii="Arial" w:cs="Arial" w:eastAsia="Arial" w:hAnsi="Arial"/>
          <w:b/>
          <w:bCs/>
          <w:sz w:val="20"/>
          <w:szCs w:val="20"/>
        </w:rPr>
        <w:t xml:space="preserve">Kawasan Timur Bireuen – Jln. Nasional Lintas Timur</w:t>
      </w:r>
    </w:p>
    <w:p>
      <w:pPr>
        <w:spacing w:after="80" w:before="40"/>
        <w:jc w:val="both"/>
      </w:pPr>
      <w:r>
        <w:rPr>
          <w:rFonts w:ascii="Arial" w:cs="Arial" w:eastAsia="Arial" w:hAnsi="Arial"/>
          <w:sz w:val="20"/>
          <w:szCs w:val="20"/>
        </w:rPr>
        <w:t xml:space="preserve">Koordinat: 5.2150, 96.7200 | Jl. Nasional Lintas Timur Sumatera | Geulanggang Baro, Kota Juang, Kabupaten Bireuen, Aceh</w:t>
      </w:r>
    </w:p>
    <w:p>
      <w:pPr>
        <w:spacing w:after="80" w:before="40"/>
        <w:jc w:val="both"/>
      </w:pPr>
      <w:r>
        <w:rPr>
          <w:rFonts w:ascii="Arial" w:cs="Arial" w:eastAsia="Arial" w:hAnsi="Arial"/>
          <w:sz w:val="20"/>
          <w:szCs w:val="20"/>
        </w:rPr>
        <w:t xml:space="preserve">Deskripsi: Sisi timur Kota Bireuen, lebih dekat ke arah Lhokseumawe. Kawasan semi-industri dengan akses jalan nasional baik.</w:t>
      </w:r>
    </w:p>
    <w:p>
      <w:pPr>
        <w:spacing w:after="80" w:before="40"/>
        <w:jc w:val="both"/>
      </w:pPr>
      <w:r>
        <w:rPr>
          <w:rFonts w:ascii="Arial" w:cs="Arial" w:eastAsia="Arial" w:hAnsi="Arial"/>
          <w:sz w:val="20"/>
          <w:szCs w:val="20"/>
        </w:rPr>
        <w:t xml:space="preserve">Alasan Pemilihan: Lebih dekat ke Lhokseumawe untuk efisiensi top-up isotank; akses jalan nasional baik; area belum padat.</w:t>
      </w:r>
    </w:p>
    <w:p>
      <w:pPr>
        <w:spacing w:after="80" w:before="40"/>
        <w:jc w:val="both"/>
      </w:pPr>
      <w:r>
        <w:rPr>
          <w:rFonts w:ascii="Arial" w:cs="Arial" w:eastAsia="Arial" w:hAnsi="Arial"/>
          <w:sz w:val="20"/>
          <w:szCs w:val="20"/>
        </w:rPr>
        <w:t xml:space="preserve">Metrik: Jarak dari Arun 54.9 km | Waktu tempuh 1j 13m | Biaya BBM Mix Rp 150.640 | Skor WLS: 8.12/10,00</w:t>
      </w:r>
    </w:p>
    <w:p>
      <w:r>
        <w:br w:type="page"/>
      </w:r>
    </w:p>
    <w:p>
      <w:pPr>
        <w:pStyle w:val="Heading2"/>
        <w:spacing w:after="80" w:before="200"/>
      </w:pPr>
      <w:r>
        <w:rPr>
          <w:rFonts w:ascii="Arial" w:cs="Arial" w:eastAsia="Arial" w:hAnsi="Arial"/>
          <w:b/>
          <w:bCs/>
          <w:color w:val="2E75B6"/>
          <w:sz w:val="24"/>
          <w:szCs w:val="24"/>
        </w:rPr>
        <w:t xml:space="preserve">5.3 Sigli</w:t>
      </w:r>
    </w:p>
    <w:p>
      <w:pPr>
        <w:spacing w:after="80" w:before="40"/>
        <w:jc w:val="both"/>
      </w:pPr>
      <w:r>
        <w:rPr>
          <w:rFonts w:ascii="Arial" w:cs="Arial" w:eastAsia="Arial" w:hAnsi="Arial"/>
          <w:sz w:val="20"/>
          <w:szCs w:val="20"/>
        </w:rPr>
        <w:t xml:space="preserve">Sigli (Kab. Pidie) merupakan wilayah paling barat dari tiga Sub-WO, berjarak ~152–159 km dari Arun. Keunggulan kompetitif Sigli adalah aksesibilitas Tol Sigli–Banda Aceh yang sudah hampir penuh beroperasi (progress &gt;96%), sehingga waktu tempuh dari arah Banda Aceh jauh lebih singkat. Sub-WO Sigli akan mengurangi beban WO Utama Banda Aceh secara signifikan.</w:t>
      </w:r>
    </w:p>
    <w:p>
      <w:pPr>
        <w:pStyle w:val="Heading3"/>
        <w:spacing w:after="60" w:before="160"/>
      </w:pPr>
      <w:r>
        <w:rPr>
          <w:rFonts w:ascii="Arial" w:cs="Arial" w:eastAsia="Arial" w:hAnsi="Arial"/>
          <w:b/>
          <w:bCs/>
          <w:color w:val="2E4057"/>
          <w:sz w:val="22"/>
          <w:szCs w:val="22"/>
        </w:rPr>
        <w:t xml:space="preserve">Data Metrik Kandidat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1100"/>
        <w:gridCol w:w="1100"/>
        <w:gridCol w:w="1100"/>
        <w:gridCol w:w="1100"/>
        <w:gridCol w:w="1226"/>
      </w:tblGrid>
      <w:tr>
        <w:trPr>
          <w:tblHeader/>
        </w:trPr>
        <w:tc>
          <w:tcPr>
            <w:tcW w:type="dxa" w:w="1200"/>
            <w:tcBorders>
              <w:top w:val="single" w:color="FFFFFF" w:sz="1"/>
              <w:left w:val="single" w:color="FFFFFF" w:sz="1"/>
              <w:bottom w:val="single" w:color="FFFFFF" w:sz="1"/>
              <w:right w:val="single" w:color="FFFFFF" w:sz="1"/>
            </w:tcBorders>
            <w:shd w:fill="1F3864" w:val="clear"/>
            <w:tcMar>
              <w:top w:type="dxa" w:w="60"/>
              <w:left w:type="dxa" w:w="80"/>
              <w:bottom w:type="dxa" w:w="60"/>
              <w:right w:type="dxa" w:w="80"/>
            </w:tcMar>
            <w:vAlign w:val="center"/>
          </w:tcPr>
          <w:p>
            <w:pPr>
              <w:spacing w:after="40" w:before="40"/>
              <w:jc w:val="center"/>
            </w:pPr>
            <w:r>
              <w:rPr>
                <w:rFonts w:ascii="Arial" w:cs="Arial" w:eastAsia="Arial" w:hAnsi="Arial"/>
                <w:b/>
                <w:bCs/>
                <w:color w:val="FFFFFF"/>
                <w:sz w:val="17"/>
                <w:szCs w:val="17"/>
              </w:rPr>
              <w:t xml:space="preserve">Peringkat</w:t>
            </w:r>
          </w:p>
        </w:tc>
        <w:tc>
          <w:tcPr>
            <w:tcW w:type="dxa" w:w="1100"/>
            <w:tcBorders>
              <w:top w:val="single" w:color="FFFFFF" w:sz="1"/>
              <w:left w:val="single" w:color="FFFFFF" w:sz="1"/>
              <w:bottom w:val="single" w:color="FFFFFF" w:sz="1"/>
              <w:right w:val="single" w:color="FFFFFF" w:sz="1"/>
            </w:tcBorders>
            <w:shd w:fill="1F3864" w:val="clear"/>
            <w:tcMar>
              <w:top w:type="dxa" w:w="60"/>
              <w:left w:type="dxa" w:w="80"/>
              <w:bottom w:type="dxa" w:w="60"/>
              <w:right w:type="dxa" w:w="80"/>
            </w:tcMar>
            <w:vAlign w:val="center"/>
          </w:tcPr>
          <w:p>
            <w:pPr>
              <w:spacing w:after="40" w:before="40"/>
              <w:jc w:val="center"/>
            </w:pPr>
            <w:r>
              <w:rPr>
                <w:rFonts w:ascii="Arial" w:cs="Arial" w:eastAsia="Arial" w:hAnsi="Arial"/>
                <w:b/>
                <w:bCs/>
                <w:color w:val="FFFFFF"/>
                <w:sz w:val="17"/>
                <w:szCs w:val="17"/>
              </w:rPr>
              <w:t xml:space="preserve">Latitude</w:t>
            </w:r>
          </w:p>
        </w:tc>
        <w:tc>
          <w:tcPr>
            <w:tcW w:type="dxa" w:w="1100"/>
            <w:tcBorders>
              <w:top w:val="single" w:color="FFFFFF" w:sz="1"/>
              <w:left w:val="single" w:color="FFFFFF" w:sz="1"/>
              <w:bottom w:val="single" w:color="FFFFFF" w:sz="1"/>
              <w:right w:val="single" w:color="FFFFFF" w:sz="1"/>
            </w:tcBorders>
            <w:shd w:fill="1F3864" w:val="clear"/>
            <w:tcMar>
              <w:top w:type="dxa" w:w="60"/>
              <w:left w:type="dxa" w:w="80"/>
              <w:bottom w:type="dxa" w:w="60"/>
              <w:right w:type="dxa" w:w="80"/>
            </w:tcMar>
            <w:vAlign w:val="center"/>
          </w:tcPr>
          <w:p>
            <w:pPr>
              <w:spacing w:after="40" w:before="40"/>
              <w:jc w:val="center"/>
            </w:pPr>
            <w:r>
              <w:rPr>
                <w:rFonts w:ascii="Arial" w:cs="Arial" w:eastAsia="Arial" w:hAnsi="Arial"/>
                <w:b/>
                <w:bCs/>
                <w:color w:val="FFFFFF"/>
                <w:sz w:val="17"/>
                <w:szCs w:val="17"/>
              </w:rPr>
              <w:t xml:space="preserve">Longitude</w:t>
            </w:r>
          </w:p>
        </w:tc>
        <w:tc>
          <w:tcPr>
            <w:tcW w:type="dxa" w:w="1100"/>
            <w:tcBorders>
              <w:top w:val="single" w:color="FFFFFF" w:sz="1"/>
              <w:left w:val="single" w:color="FFFFFF" w:sz="1"/>
              <w:bottom w:val="single" w:color="FFFFFF" w:sz="1"/>
              <w:right w:val="single" w:color="FFFFFF" w:sz="1"/>
            </w:tcBorders>
            <w:shd w:fill="1F3864" w:val="clear"/>
            <w:tcMar>
              <w:top w:type="dxa" w:w="60"/>
              <w:left w:type="dxa" w:w="80"/>
              <w:bottom w:type="dxa" w:w="60"/>
              <w:right w:type="dxa" w:w="80"/>
            </w:tcMar>
            <w:vAlign w:val="center"/>
          </w:tcPr>
          <w:p>
            <w:pPr>
              <w:spacing w:after="40" w:before="40"/>
              <w:jc w:val="center"/>
            </w:pPr>
            <w:r>
              <w:rPr>
                <w:rFonts w:ascii="Arial" w:cs="Arial" w:eastAsia="Arial" w:hAnsi="Arial"/>
                <w:b/>
                <w:bCs/>
                <w:color w:val="FFFFFF"/>
                <w:sz w:val="17"/>
                <w:szCs w:val="17"/>
              </w:rPr>
              <w:t xml:space="preserve">Jarak Arun (km)</w:t>
            </w:r>
          </w:p>
        </w:tc>
        <w:tc>
          <w:tcPr>
            <w:tcW w:type="dxa" w:w="1100"/>
            <w:tcBorders>
              <w:top w:val="single" w:color="FFFFFF" w:sz="1"/>
              <w:left w:val="single" w:color="FFFFFF" w:sz="1"/>
              <w:bottom w:val="single" w:color="FFFFFF" w:sz="1"/>
              <w:right w:val="single" w:color="FFFFFF" w:sz="1"/>
            </w:tcBorders>
            <w:shd w:fill="1F3864" w:val="clear"/>
            <w:tcMar>
              <w:top w:type="dxa" w:w="60"/>
              <w:left w:type="dxa" w:w="80"/>
              <w:bottom w:type="dxa" w:w="60"/>
              <w:right w:type="dxa" w:w="80"/>
            </w:tcMar>
            <w:vAlign w:val="center"/>
          </w:tcPr>
          <w:p>
            <w:pPr>
              <w:spacing w:after="40" w:before="40"/>
              <w:jc w:val="center"/>
            </w:pPr>
            <w:r>
              <w:rPr>
                <w:rFonts w:ascii="Arial" w:cs="Arial" w:eastAsia="Arial" w:hAnsi="Arial"/>
                <w:b/>
                <w:bCs/>
                <w:color w:val="FFFFFF"/>
                <w:sz w:val="17"/>
                <w:szCs w:val="17"/>
              </w:rPr>
              <w:t xml:space="preserve">Waktu Arun</w:t>
            </w:r>
          </w:p>
        </w:tc>
        <w:tc>
          <w:tcPr>
            <w:tcW w:type="dxa" w:w="1100"/>
            <w:tcBorders>
              <w:top w:val="single" w:color="FFFFFF" w:sz="1"/>
              <w:left w:val="single" w:color="FFFFFF" w:sz="1"/>
              <w:bottom w:val="single" w:color="FFFFFF" w:sz="1"/>
              <w:right w:val="single" w:color="FFFFFF" w:sz="1"/>
            </w:tcBorders>
            <w:shd w:fill="1F3864" w:val="clear"/>
            <w:tcMar>
              <w:top w:type="dxa" w:w="60"/>
              <w:left w:type="dxa" w:w="80"/>
              <w:bottom w:type="dxa" w:w="60"/>
              <w:right w:type="dxa" w:w="80"/>
            </w:tcMar>
            <w:vAlign w:val="center"/>
          </w:tcPr>
          <w:p>
            <w:pPr>
              <w:spacing w:after="40" w:before="40"/>
              <w:jc w:val="center"/>
            </w:pPr>
            <w:r>
              <w:rPr>
                <w:rFonts w:ascii="Arial" w:cs="Arial" w:eastAsia="Arial" w:hAnsi="Arial"/>
                <w:b/>
                <w:bCs/>
                <w:color w:val="FFFFFF"/>
                <w:sz w:val="17"/>
                <w:szCs w:val="17"/>
              </w:rPr>
              <w:t xml:space="preserve">Biaya Mix (Rp)</w:t>
            </w:r>
          </w:p>
        </w:tc>
        <w:tc>
          <w:tcPr>
            <w:tcW w:type="dxa" w:w="1226"/>
            <w:tcBorders>
              <w:top w:val="single" w:color="FFFFFF" w:sz="1"/>
              <w:left w:val="single" w:color="FFFFFF" w:sz="1"/>
              <w:bottom w:val="single" w:color="FFFFFF" w:sz="1"/>
              <w:right w:val="single" w:color="FFFFFF" w:sz="1"/>
            </w:tcBorders>
            <w:shd w:fill="1F3864" w:val="clear"/>
            <w:tcMar>
              <w:top w:type="dxa" w:w="60"/>
              <w:left w:type="dxa" w:w="80"/>
              <w:bottom w:type="dxa" w:w="60"/>
              <w:right w:type="dxa" w:w="80"/>
            </w:tcMar>
            <w:vAlign w:val="center"/>
          </w:tcPr>
          <w:p>
            <w:pPr>
              <w:spacing w:after="40" w:before="40"/>
              <w:jc w:val="center"/>
            </w:pPr>
            <w:r>
              <w:rPr>
                <w:rFonts w:ascii="Arial" w:cs="Arial" w:eastAsia="Arial" w:hAnsi="Arial"/>
                <w:b/>
                <w:bCs/>
                <w:color w:val="FFFFFF"/>
                <w:sz w:val="17"/>
                <w:szCs w:val="17"/>
              </w:rPr>
              <w:t xml:space="preserve">Skor WLS</w:t>
            </w:r>
          </w:p>
        </w:tc>
      </w:tr>
      <w:tr>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80"/>
            </w:tcMar>
            <w:vAlign w:val="center"/>
          </w:tcPr>
          <w:p>
            <w:pPr>
              <w:spacing w:after="30" w:before="30"/>
              <w:jc w:val="center"/>
            </w:pPr>
            <w:r>
              <w:rPr>
                <w:rFonts w:ascii="Arial" w:cs="Arial" w:eastAsia="Arial" w:hAnsi="Arial"/>
                <w:b/>
                <w:bCs/>
                <w:color w:val="000000"/>
                <w:sz w:val="17"/>
                <w:szCs w:val="17"/>
              </w:rPr>
              <w:t xml:space="preserve">TERBAIK</w:t>
            </w:r>
          </w:p>
        </w:tc>
        <w:tc>
          <w:tcPr>
            <w:tcW w:type="dxa" w:w="11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5.3870</w:t>
            </w:r>
          </w:p>
        </w:tc>
        <w:tc>
          <w:tcPr>
            <w:tcW w:type="dxa" w:w="11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95.9600</w:t>
            </w:r>
          </w:p>
        </w:tc>
        <w:tc>
          <w:tcPr>
            <w:tcW w:type="dxa" w:w="11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157.7 km</w:t>
            </w:r>
          </w:p>
        </w:tc>
        <w:tc>
          <w:tcPr>
            <w:tcW w:type="dxa" w:w="11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2j 38m</w:t>
            </w:r>
          </w:p>
        </w:tc>
        <w:tc>
          <w:tcPr>
            <w:tcW w:type="dxa" w:w="11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Rp 666.530</w:t>
            </w:r>
          </w:p>
        </w:tc>
        <w:tc>
          <w:tcPr>
            <w:tcW w:type="dxa" w:w="1226"/>
            <w:tcBorders>
              <w:top w:val="single" w:color="CCCCCC" w:sz="1"/>
              <w:left w:val="single" w:color="CCCCCC" w:sz="1"/>
              <w:bottom w:val="single" w:color="CCCCCC" w:sz="1"/>
              <w:right w:val="single" w:color="CCCCCC" w:sz="1"/>
            </w:tcBorders>
            <w:shd w:fill="E2EFDA" w:val="clear"/>
            <w:tcMar>
              <w:top w:type="dxa" w:w="60"/>
              <w:left w:type="dxa" w:w="100"/>
              <w:bottom w:type="dxa" w:w="60"/>
              <w:right w:type="dxa" w:w="80"/>
            </w:tcMar>
            <w:vAlign w:val="center"/>
          </w:tcPr>
          <w:p>
            <w:pPr>
              <w:spacing w:after="30" w:before="30"/>
              <w:jc w:val="center"/>
            </w:pPr>
            <w:r>
              <w:rPr>
                <w:rFonts w:ascii="Arial" w:cs="Arial" w:eastAsia="Arial" w:hAnsi="Arial"/>
                <w:b/>
                <w:bCs/>
                <w:color w:val="000000"/>
                <w:sz w:val="17"/>
                <w:szCs w:val="17"/>
              </w:rPr>
              <w:t xml:space="preserve">8.45</w:t>
            </w:r>
          </w:p>
        </w:tc>
      </w:tr>
      <w:tr>
        <w:tc>
          <w:tcPr>
            <w:tcW w:type="dxa" w:w="1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ALTERNATIF 1</w:t>
            </w:r>
          </w:p>
        </w:tc>
        <w:tc>
          <w:tcPr>
            <w:tcW w:type="dxa" w:w="11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5.3750</w:t>
            </w:r>
          </w:p>
        </w:tc>
        <w:tc>
          <w:tcPr>
            <w:tcW w:type="dxa" w:w="11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95.9500</w:t>
            </w:r>
          </w:p>
        </w:tc>
        <w:tc>
          <w:tcPr>
            <w:tcW w:type="dxa" w:w="11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158.8 km</w:t>
            </w:r>
          </w:p>
        </w:tc>
        <w:tc>
          <w:tcPr>
            <w:tcW w:type="dxa" w:w="11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2j 39m</w:t>
            </w:r>
          </w:p>
        </w:tc>
        <w:tc>
          <w:tcPr>
            <w:tcW w:type="dxa" w:w="11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Rp 675.540</w:t>
            </w:r>
          </w:p>
        </w:tc>
        <w:tc>
          <w:tcPr>
            <w:tcW w:type="dxa" w:w="1226"/>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8.55</w:t>
            </w:r>
          </w:p>
        </w:tc>
      </w:tr>
      <w:tr>
        <w:tc>
          <w:tcPr>
            <w:tcW w:type="dxa" w:w="1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ALTERNATIF 2</w:t>
            </w:r>
          </w:p>
        </w:tc>
        <w:tc>
          <w:tcPr>
            <w:tcW w:type="dxa" w:w="11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5.3950</w:t>
            </w:r>
          </w:p>
        </w:tc>
        <w:tc>
          <w:tcPr>
            <w:tcW w:type="dxa" w:w="11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95.9700</w:t>
            </w:r>
          </w:p>
        </w:tc>
        <w:tc>
          <w:tcPr>
            <w:tcW w:type="dxa" w:w="11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156.5 km</w:t>
            </w:r>
          </w:p>
        </w:tc>
        <w:tc>
          <w:tcPr>
            <w:tcW w:type="dxa" w:w="11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2j 37m</w:t>
            </w:r>
          </w:p>
        </w:tc>
        <w:tc>
          <w:tcPr>
            <w:tcW w:type="dxa" w:w="11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Rp 652.660</w:t>
            </w:r>
          </w:p>
        </w:tc>
        <w:tc>
          <w:tcPr>
            <w:tcW w:type="dxa" w:w="1226"/>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7.90</w:t>
            </w:r>
          </w:p>
        </w:tc>
      </w:tr>
      <w:tr>
        <w:tc>
          <w:tcPr>
            <w:tcW w:type="dxa" w:w="1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ALTERNATIF 3</w:t>
            </w:r>
          </w:p>
        </w:tc>
        <w:tc>
          <w:tcPr>
            <w:tcW w:type="dxa" w:w="11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5.3800</w:t>
            </w:r>
          </w:p>
        </w:tc>
        <w:tc>
          <w:tcPr>
            <w:tcW w:type="dxa" w:w="11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96.0000</w:t>
            </w:r>
          </w:p>
        </w:tc>
        <w:tc>
          <w:tcPr>
            <w:tcW w:type="dxa" w:w="11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152.1 km</w:t>
            </w:r>
          </w:p>
        </w:tc>
        <w:tc>
          <w:tcPr>
            <w:tcW w:type="dxa" w:w="11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2j 32m</w:t>
            </w:r>
          </w:p>
        </w:tc>
        <w:tc>
          <w:tcPr>
            <w:tcW w:type="dxa" w:w="11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Rp 617.500</w:t>
            </w:r>
          </w:p>
        </w:tc>
        <w:tc>
          <w:tcPr>
            <w:tcW w:type="dxa" w:w="1226"/>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7.47</w:t>
            </w:r>
          </w:p>
        </w:tc>
      </w:tr>
    </w:tbl>
    <w:p>
      <w:pPr>
        <w:spacing w:after="60" w:before="60"/>
      </w:pPr>
      <w:r>
        <w:rPr>
          <w:rFonts w:ascii="Arial" w:cs="Arial" w:eastAsia="Arial" w:hAnsi="Arial"/>
          <w:b w:val="false"/>
          <w:bCs w:val="false"/>
          <w:i w:val="false"/>
          <w:iCs w:val="false"/>
          <w:color w:val="000000"/>
          <w:sz w:val="20"/>
          <w:szCs w:val="20"/>
        </w:rPr>
        <w:t xml:space="preserve"/>
      </w:r>
    </w:p>
    <w:p>
      <w:pPr>
        <w:pStyle w:val="Heading3"/>
        <w:spacing w:after="60" w:before="160"/>
      </w:pPr>
      <w:r>
        <w:rPr>
          <w:rFonts w:ascii="Arial" w:cs="Arial" w:eastAsia="Arial" w:hAnsi="Arial"/>
          <w:b/>
          <w:bCs/>
          <w:color w:val="2E4057"/>
          <w:sz w:val="22"/>
          <w:szCs w:val="22"/>
        </w:rPr>
        <w:t xml:space="preserve">Alamat Lengkap Kandidat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1326"/>
        <w:gridCol w:w="1500"/>
        <w:gridCol w:w="1500"/>
        <w:gridCol w:w="1000"/>
      </w:tblGrid>
      <w:tr>
        <w:trPr>
          <w:tblHeader/>
        </w:trPr>
        <w:tc>
          <w:tcPr>
            <w:tcW w:type="dxa" w:w="1300"/>
            <w:tcBorders>
              <w:top w:val="single" w:color="FFFFFF" w:sz="1"/>
              <w:left w:val="single" w:color="FFFFFF" w:sz="1"/>
              <w:bottom w:val="single" w:color="FFFFFF" w:sz="1"/>
              <w:right w:val="single" w:color="FFFFFF" w:sz="1"/>
            </w:tcBorders>
            <w:shd w:fill="1F3864" w:val="clear"/>
            <w:tcMar>
              <w:top w:type="dxa" w:w="60"/>
              <w:left w:type="dxa" w:w="80"/>
              <w:bottom w:type="dxa" w:w="60"/>
              <w:right w:type="dxa" w:w="80"/>
            </w:tcMar>
            <w:vAlign w:val="center"/>
          </w:tcPr>
          <w:p>
            <w:pPr>
              <w:spacing w:after="40" w:before="40"/>
              <w:jc w:val="center"/>
            </w:pPr>
            <w:r>
              <w:rPr>
                <w:rFonts w:ascii="Arial" w:cs="Arial" w:eastAsia="Arial" w:hAnsi="Arial"/>
                <w:b/>
                <w:bCs/>
                <w:color w:val="FFFFFF"/>
                <w:sz w:val="17"/>
                <w:szCs w:val="17"/>
              </w:rPr>
              <w:t xml:space="preserve">Peringkat</w:t>
            </w:r>
          </w:p>
        </w:tc>
        <w:tc>
          <w:tcPr>
            <w:tcW w:type="dxa" w:w="2400"/>
            <w:tcBorders>
              <w:top w:val="single" w:color="FFFFFF" w:sz="1"/>
              <w:left w:val="single" w:color="FFFFFF" w:sz="1"/>
              <w:bottom w:val="single" w:color="FFFFFF" w:sz="1"/>
              <w:right w:val="single" w:color="FFFFFF" w:sz="1"/>
            </w:tcBorders>
            <w:shd w:fill="1F3864" w:val="clear"/>
            <w:tcMar>
              <w:top w:type="dxa" w:w="60"/>
              <w:left w:type="dxa" w:w="80"/>
              <w:bottom w:type="dxa" w:w="60"/>
              <w:right w:type="dxa" w:w="80"/>
            </w:tcMar>
            <w:vAlign w:val="center"/>
          </w:tcPr>
          <w:p>
            <w:pPr>
              <w:spacing w:after="40" w:before="40"/>
              <w:jc w:val="center"/>
            </w:pPr>
            <w:r>
              <w:rPr>
                <w:rFonts w:ascii="Arial" w:cs="Arial" w:eastAsia="Arial" w:hAnsi="Arial"/>
                <w:b/>
                <w:bCs/>
                <w:color w:val="FFFFFF"/>
                <w:sz w:val="17"/>
                <w:szCs w:val="17"/>
              </w:rPr>
              <w:t xml:space="preserve">Nama Lokasi</w:t>
            </w:r>
          </w:p>
        </w:tc>
        <w:tc>
          <w:tcPr>
            <w:tcW w:type="dxa" w:w="1326"/>
            <w:tcBorders>
              <w:top w:val="single" w:color="FFFFFF" w:sz="1"/>
              <w:left w:val="single" w:color="FFFFFF" w:sz="1"/>
              <w:bottom w:val="single" w:color="FFFFFF" w:sz="1"/>
              <w:right w:val="single" w:color="FFFFFF" w:sz="1"/>
            </w:tcBorders>
            <w:shd w:fill="1F3864" w:val="clear"/>
            <w:tcMar>
              <w:top w:type="dxa" w:w="60"/>
              <w:left w:type="dxa" w:w="80"/>
              <w:bottom w:type="dxa" w:w="60"/>
              <w:right w:type="dxa" w:w="80"/>
            </w:tcMar>
            <w:vAlign w:val="center"/>
          </w:tcPr>
          <w:p>
            <w:pPr>
              <w:spacing w:after="40" w:before="40"/>
              <w:jc w:val="center"/>
            </w:pPr>
            <w:r>
              <w:rPr>
                <w:rFonts w:ascii="Arial" w:cs="Arial" w:eastAsia="Arial" w:hAnsi="Arial"/>
                <w:b/>
                <w:bCs/>
                <w:color w:val="FFFFFF"/>
                <w:sz w:val="17"/>
                <w:szCs w:val="17"/>
              </w:rPr>
              <w:t xml:space="preserve">Jalan</w:t>
            </w:r>
          </w:p>
        </w:tc>
        <w:tc>
          <w:tcPr>
            <w:tcW w:type="dxa" w:w="1500"/>
            <w:tcBorders>
              <w:top w:val="single" w:color="FFFFFF" w:sz="1"/>
              <w:left w:val="single" w:color="FFFFFF" w:sz="1"/>
              <w:bottom w:val="single" w:color="FFFFFF" w:sz="1"/>
              <w:right w:val="single" w:color="FFFFFF" w:sz="1"/>
            </w:tcBorders>
            <w:shd w:fill="1F3864" w:val="clear"/>
            <w:tcMar>
              <w:top w:type="dxa" w:w="60"/>
              <w:left w:type="dxa" w:w="80"/>
              <w:bottom w:type="dxa" w:w="60"/>
              <w:right w:type="dxa" w:w="80"/>
            </w:tcMar>
            <w:vAlign w:val="center"/>
          </w:tcPr>
          <w:p>
            <w:pPr>
              <w:spacing w:after="40" w:before="40"/>
              <w:jc w:val="center"/>
            </w:pPr>
            <w:r>
              <w:rPr>
                <w:rFonts w:ascii="Arial" w:cs="Arial" w:eastAsia="Arial" w:hAnsi="Arial"/>
                <w:b/>
                <w:bCs/>
                <w:color w:val="FFFFFF"/>
                <w:sz w:val="17"/>
                <w:szCs w:val="17"/>
              </w:rPr>
              <w:t xml:space="preserve">Kelurahan</w:t>
            </w:r>
          </w:p>
        </w:tc>
        <w:tc>
          <w:tcPr>
            <w:tcW w:type="dxa" w:w="1500"/>
            <w:tcBorders>
              <w:top w:val="single" w:color="FFFFFF" w:sz="1"/>
              <w:left w:val="single" w:color="FFFFFF" w:sz="1"/>
              <w:bottom w:val="single" w:color="FFFFFF" w:sz="1"/>
              <w:right w:val="single" w:color="FFFFFF" w:sz="1"/>
            </w:tcBorders>
            <w:shd w:fill="1F3864" w:val="clear"/>
            <w:tcMar>
              <w:top w:type="dxa" w:w="60"/>
              <w:left w:type="dxa" w:w="80"/>
              <w:bottom w:type="dxa" w:w="60"/>
              <w:right w:type="dxa" w:w="80"/>
            </w:tcMar>
            <w:vAlign w:val="center"/>
          </w:tcPr>
          <w:p>
            <w:pPr>
              <w:spacing w:after="40" w:before="40"/>
              <w:jc w:val="center"/>
            </w:pPr>
            <w:r>
              <w:rPr>
                <w:rFonts w:ascii="Arial" w:cs="Arial" w:eastAsia="Arial" w:hAnsi="Arial"/>
                <w:b/>
                <w:bCs/>
                <w:color w:val="FFFFFF"/>
                <w:sz w:val="17"/>
                <w:szCs w:val="17"/>
              </w:rPr>
              <w:t xml:space="preserve">Kecamatan</w:t>
            </w:r>
          </w:p>
        </w:tc>
        <w:tc>
          <w:tcPr>
            <w:tcW w:type="dxa" w:w="1000"/>
            <w:tcBorders>
              <w:top w:val="single" w:color="FFFFFF" w:sz="1"/>
              <w:left w:val="single" w:color="FFFFFF" w:sz="1"/>
              <w:bottom w:val="single" w:color="FFFFFF" w:sz="1"/>
              <w:right w:val="single" w:color="FFFFFF" w:sz="1"/>
            </w:tcBorders>
            <w:shd w:fill="1F3864" w:val="clear"/>
            <w:tcMar>
              <w:top w:type="dxa" w:w="60"/>
              <w:left w:type="dxa" w:w="80"/>
              <w:bottom w:type="dxa" w:w="60"/>
              <w:right w:type="dxa" w:w="80"/>
            </w:tcMar>
            <w:vAlign w:val="center"/>
          </w:tcPr>
          <w:p>
            <w:pPr>
              <w:spacing w:after="40" w:before="40"/>
              <w:jc w:val="center"/>
            </w:pPr>
            <w:r>
              <w:rPr>
                <w:rFonts w:ascii="Arial" w:cs="Arial" w:eastAsia="Arial" w:hAnsi="Arial"/>
                <w:b/>
                <w:bCs/>
                <w:color w:val="FFFFFF"/>
                <w:sz w:val="17"/>
                <w:szCs w:val="17"/>
              </w:rPr>
              <w:t xml:space="preserve">Kota/Kab</w:t>
            </w:r>
          </w:p>
        </w:tc>
      </w:tr>
      <w:tr>
        <w:tc>
          <w:tcPr>
            <w:tcW w:type="dxa" w:w="13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80"/>
            </w:tcMar>
            <w:vAlign w:val="center"/>
          </w:tcPr>
          <w:p>
            <w:pPr>
              <w:spacing w:after="30" w:before="30"/>
              <w:jc w:val="left"/>
            </w:pPr>
            <w:r>
              <w:rPr>
                <w:rFonts w:ascii="Arial" w:cs="Arial" w:eastAsia="Arial" w:hAnsi="Arial"/>
                <w:b/>
                <w:bCs/>
                <w:color w:val="000000"/>
                <w:sz w:val="17"/>
                <w:szCs w:val="17"/>
              </w:rPr>
              <w:t xml:space="preserve">TERBAIK</w:t>
            </w:r>
          </w:p>
        </w:tc>
        <w:tc>
          <w:tcPr>
            <w:tcW w:type="dxa" w:w="24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Kawasan Jln. T.M. Daud Beureueh – Sigli Utara</w:t>
            </w:r>
          </w:p>
        </w:tc>
        <w:tc>
          <w:tcPr>
            <w:tcW w:type="dxa" w:w="1326"/>
            <w:tcBorders>
              <w:top w:val="single" w:color="CCCCCC" w:sz="1"/>
              <w:left w:val="single" w:color="CCCCCC" w:sz="1"/>
              <w:bottom w:val="single" w:color="CCCCCC" w:sz="1"/>
              <w:right w:val="single" w:color="CCCCCC" w:sz="1"/>
            </w:tcBorders>
            <w:shd w:fill="E2EFDA"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Jl. T. Muhammad Daud Beureueh (Jalan Nasional)</w:t>
            </w:r>
          </w:p>
        </w:tc>
        <w:tc>
          <w:tcPr>
            <w:tcW w:type="dxa" w:w="15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Blang Asan</w:t>
            </w:r>
          </w:p>
        </w:tc>
        <w:tc>
          <w:tcPr>
            <w:tcW w:type="dxa" w:w="15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Kota Sigli</w:t>
            </w:r>
          </w:p>
        </w:tc>
        <w:tc>
          <w:tcPr>
            <w:tcW w:type="dxa" w:w="10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Kabupaten Pidie</w:t>
            </w:r>
          </w:p>
        </w:tc>
      </w:tr>
      <w:tr>
        <w:tc>
          <w:tcPr>
            <w:tcW w:type="dxa" w:w="13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ALTERNATIF 1</w:t>
            </w:r>
          </w:p>
        </w:tc>
        <w:tc>
          <w:tcPr>
            <w:tcW w:type="dxa" w:w="24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Kawasan Pergudangan Jln. Padang Tiji – Sigli</w:t>
            </w:r>
          </w:p>
        </w:tc>
        <w:tc>
          <w:tcPr>
            <w:tcW w:type="dxa" w:w="1326"/>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Jl. Padang Tiji – Sigli (Jalan Nasional)</w:t>
            </w:r>
          </w:p>
        </w:tc>
        <w:tc>
          <w:tcPr>
            <w:tcW w:type="dxa" w:w="15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Pulo Pidie</w:t>
            </w:r>
          </w:p>
        </w:tc>
        <w:tc>
          <w:tcPr>
            <w:tcW w:type="dxa" w:w="15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Kota Sigli</w:t>
            </w:r>
          </w:p>
        </w:tc>
        <w:tc>
          <w:tcPr>
            <w:tcW w:type="dxa" w:w="10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Kabupaten Pidie</w:t>
            </w:r>
          </w:p>
        </w:tc>
      </w:tr>
      <w:tr>
        <w:tc>
          <w:tcPr>
            <w:tcW w:type="dxa" w:w="13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ALTERNATIF 2</w:t>
            </w:r>
          </w:p>
        </w:tc>
        <w:tc>
          <w:tcPr>
            <w:tcW w:type="dxa" w:w="24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Kawasan Simpang Empat Tangse – Sigli</w:t>
            </w:r>
          </w:p>
        </w:tc>
        <w:tc>
          <w:tcPr>
            <w:tcW w:type="dxa" w:w="1326"/>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Jl. Sigli – Tangse / Jl. Nasional</w:t>
            </w:r>
          </w:p>
        </w:tc>
        <w:tc>
          <w:tcPr>
            <w:tcW w:type="dxa" w:w="15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Kota Bakti</w:t>
            </w:r>
          </w:p>
        </w:tc>
        <w:tc>
          <w:tcPr>
            <w:tcW w:type="dxa" w:w="15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Kota Sigli</w:t>
            </w:r>
          </w:p>
        </w:tc>
        <w:tc>
          <w:tcPr>
            <w:tcW w:type="dxa" w:w="10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Kabupaten Pidie</w:t>
            </w:r>
          </w:p>
        </w:tc>
      </w:tr>
      <w:tr>
        <w:tc>
          <w:tcPr>
            <w:tcW w:type="dxa" w:w="13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ALTERNATIF 3</w:t>
            </w:r>
          </w:p>
        </w:tc>
        <w:tc>
          <w:tcPr>
            <w:tcW w:type="dxa" w:w="24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Kawasan Industri Simpang Sigli – Pidie Jaya</w:t>
            </w:r>
          </w:p>
        </w:tc>
        <w:tc>
          <w:tcPr>
            <w:tcW w:type="dxa" w:w="1326"/>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Jl. Sigli – Meureudu (Nasional)</w:t>
            </w:r>
          </w:p>
        </w:tc>
        <w:tc>
          <w:tcPr>
            <w:tcW w:type="dxa" w:w="15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Meunasah Blang</w:t>
            </w:r>
          </w:p>
        </w:tc>
        <w:tc>
          <w:tcPr>
            <w:tcW w:type="dxa" w:w="15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Kota Sigli</w:t>
            </w:r>
          </w:p>
        </w:tc>
        <w:tc>
          <w:tcPr>
            <w:tcW w:type="dxa" w:w="10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Kabupaten Pidie</w:t>
            </w:r>
          </w:p>
        </w:tc>
      </w:tr>
    </w:tbl>
    <w:p>
      <w:pPr>
        <w:spacing w:after="60" w:before="60"/>
      </w:pPr>
      <w:r>
        <w:rPr>
          <w:rFonts w:ascii="Arial" w:cs="Arial" w:eastAsia="Arial" w:hAnsi="Arial"/>
          <w:b w:val="false"/>
          <w:bCs w:val="false"/>
          <w:i w:val="false"/>
          <w:iCs w:val="false"/>
          <w:color w:val="000000"/>
          <w:sz w:val="20"/>
          <w:szCs w:val="20"/>
        </w:rPr>
        <w:t xml:space="preserve"/>
      </w:r>
    </w:p>
    <w:p>
      <w:pPr>
        <w:pStyle w:val="Heading3"/>
        <w:spacing w:after="60" w:before="160"/>
      </w:pPr>
      <w:r>
        <w:rPr>
          <w:rFonts w:ascii="Arial" w:cs="Arial" w:eastAsia="Arial" w:hAnsi="Arial"/>
          <w:b/>
          <w:bCs/>
          <w:color w:val="2E4057"/>
          <w:sz w:val="22"/>
          <w:szCs w:val="22"/>
        </w:rPr>
        <w:t xml:space="preserve">Analisis Detail per Kandidat</w:t>
      </w:r>
    </w:p>
    <w:p>
      <w:pPr>
        <w:spacing w:after="40" w:before="120"/>
      </w:pPr>
      <w:r>
        <w:rPr>
          <w:rFonts w:ascii="Arial" w:cs="Arial" w:eastAsia="Arial" w:hAnsi="Arial"/>
          <w:b/>
          <w:bCs/>
          <w:color w:val="27ae60"/>
          <w:sz w:val="20"/>
          <w:szCs w:val="20"/>
        </w:rPr>
        <w:t xml:space="preserve">TERBAIK: </w:t>
      </w:r>
      <w:r>
        <w:rPr>
          <w:rFonts w:ascii="Arial" w:cs="Arial" w:eastAsia="Arial" w:hAnsi="Arial"/>
          <w:b/>
          <w:bCs/>
          <w:sz w:val="20"/>
          <w:szCs w:val="20"/>
        </w:rPr>
        <w:t xml:space="preserve">Kawasan Jln. T.M. Daud Beureueh – Sigli Utara</w:t>
      </w:r>
    </w:p>
    <w:p>
      <w:pPr>
        <w:spacing w:after="80" w:before="40"/>
        <w:jc w:val="both"/>
      </w:pPr>
      <w:r>
        <w:rPr>
          <w:rFonts w:ascii="Arial" w:cs="Arial" w:eastAsia="Arial" w:hAnsi="Arial"/>
          <w:sz w:val="20"/>
          <w:szCs w:val="20"/>
        </w:rPr>
        <w:t xml:space="preserve">Koordinat: 5.3870, 95.9600 | Jl. T. Muhammad Daud Beureueh (Jalan Nasional) | Blang Asan, Kota Sigli, Kabupaten Pidie, Aceh</w:t>
      </w:r>
    </w:p>
    <w:p>
      <w:pPr>
        <w:spacing w:after="80" w:before="40"/>
        <w:jc w:val="both"/>
      </w:pPr>
      <w:r>
        <w:rPr>
          <w:rFonts w:ascii="Arial" w:cs="Arial" w:eastAsia="Arial" w:hAnsi="Arial"/>
          <w:sz w:val="20"/>
          <w:szCs w:val="20"/>
        </w:rPr>
        <w:t xml:space="preserve">Deskripsi: Berlokasi di sisi jalan nasional utama Sigli (Jl. T.M. Daud Beureueh). Dekat exit Tol Sigli–Banda Aceh yang sudah hampir penuh beroperasi (2025). Kawasan komersial-industri dengan jalan 2 jalur.</w:t>
      </w:r>
    </w:p>
    <w:p>
      <w:pPr>
        <w:spacing w:after="80" w:before="40"/>
        <w:jc w:val="both"/>
      </w:pPr>
      <w:r>
        <w:rPr>
          <w:rFonts w:ascii="Arial" w:cs="Arial" w:eastAsia="Arial" w:hAnsi="Arial"/>
          <w:sz w:val="20"/>
          <w:szCs w:val="20"/>
        </w:rPr>
        <w:t xml:space="preserve">Alasan Pemilihan: Aksesibilitas tol meningkatkan efisiensi distribusi dari Arun; posisi sentral Kota Sigli; jalan nasional 2 jalur; titik persimpangan ke Pidie Jaya.</w:t>
      </w:r>
    </w:p>
    <w:p>
      <w:pPr>
        <w:spacing w:after="80" w:before="40"/>
        <w:jc w:val="both"/>
      </w:pPr>
      <w:r>
        <w:rPr>
          <w:rFonts w:ascii="Arial" w:cs="Arial" w:eastAsia="Arial" w:hAnsi="Arial"/>
          <w:sz w:val="20"/>
          <w:szCs w:val="20"/>
        </w:rPr>
        <w:t xml:space="preserve">Metrik: Jarak dari Arun 157.7 km | Waktu tempuh 2j 38m | Biaya BBM Mix Rp 666.530 | Skor WLS: 8.45/10,00</w:t>
      </w:r>
    </w:p>
    <w:p>
      <w:pPr>
        <w:spacing w:after="40" w:before="120"/>
      </w:pPr>
      <w:r>
        <w:rPr>
          <w:rFonts w:ascii="Arial" w:cs="Arial" w:eastAsia="Arial" w:hAnsi="Arial"/>
          <w:b/>
          <w:bCs/>
          <w:color w:val="2E75B6"/>
          <w:sz w:val="20"/>
          <w:szCs w:val="20"/>
        </w:rPr>
        <w:t xml:space="preserve">ALTERNATIF 1: </w:t>
      </w:r>
      <w:r>
        <w:rPr>
          <w:rFonts w:ascii="Arial" w:cs="Arial" w:eastAsia="Arial" w:hAnsi="Arial"/>
          <w:b/>
          <w:bCs/>
          <w:sz w:val="20"/>
          <w:szCs w:val="20"/>
        </w:rPr>
        <w:t xml:space="preserve">Kawasan Pergudangan Jln. Padang Tiji – Sigli</w:t>
      </w:r>
    </w:p>
    <w:p>
      <w:pPr>
        <w:spacing w:after="80" w:before="40"/>
        <w:jc w:val="both"/>
      </w:pPr>
      <w:r>
        <w:rPr>
          <w:rFonts w:ascii="Arial" w:cs="Arial" w:eastAsia="Arial" w:hAnsi="Arial"/>
          <w:sz w:val="20"/>
          <w:szCs w:val="20"/>
        </w:rPr>
        <w:t xml:space="preserve">Koordinat: 5.3750, 95.9500 | Jl. Padang Tiji – Sigli (Jalan Nasional) | Pulo Pidie, Kota Sigli, Kabupaten Pidie, Aceh</w:t>
      </w:r>
    </w:p>
    <w:p>
      <w:pPr>
        <w:spacing w:after="80" w:before="40"/>
        <w:jc w:val="both"/>
      </w:pPr>
      <w:r>
        <w:rPr>
          <w:rFonts w:ascii="Arial" w:cs="Arial" w:eastAsia="Arial" w:hAnsi="Arial"/>
          <w:sz w:val="20"/>
          <w:szCs w:val="20"/>
        </w:rPr>
        <w:t xml:space="preserve">Deskripsi: Sisi barat Kota Sigli, dekat Gerbang Tol Padang Tiji–Seulimeum (Seksi 1). Kawasan semi-industri dan perdagangan.</w:t>
      </w:r>
    </w:p>
    <w:p>
      <w:pPr>
        <w:spacing w:after="80" w:before="40"/>
        <w:jc w:val="both"/>
      </w:pPr>
      <w:r>
        <w:rPr>
          <w:rFonts w:ascii="Arial" w:cs="Arial" w:eastAsia="Arial" w:hAnsi="Arial"/>
          <w:sz w:val="20"/>
          <w:szCs w:val="20"/>
        </w:rPr>
        <w:t xml:space="preserve">Alasan Pemilihan: Akses langsung dari tol Seksi 1 (Padang Tiji–Seulimeum); waktu tempuh dari Arun paling singkat di Sigli karena exit tol paling dekat.</w:t>
      </w:r>
    </w:p>
    <w:p>
      <w:pPr>
        <w:spacing w:after="80" w:before="40"/>
        <w:jc w:val="both"/>
      </w:pPr>
      <w:r>
        <w:rPr>
          <w:rFonts w:ascii="Arial" w:cs="Arial" w:eastAsia="Arial" w:hAnsi="Arial"/>
          <w:sz w:val="20"/>
          <w:szCs w:val="20"/>
        </w:rPr>
        <w:t xml:space="preserve">Metrik: Jarak dari Arun 158.8 km | Waktu tempuh 2j 39m | Biaya BBM Mix Rp 675.540 | Skor WLS: 8.55/10,00</w:t>
      </w:r>
    </w:p>
    <w:p>
      <w:pPr>
        <w:spacing w:after="40" w:before="120"/>
      </w:pPr>
      <w:r>
        <w:rPr>
          <w:rFonts w:ascii="Arial" w:cs="Arial" w:eastAsia="Arial" w:hAnsi="Arial"/>
          <w:b/>
          <w:bCs/>
          <w:color w:val="2E75B6"/>
          <w:sz w:val="20"/>
          <w:szCs w:val="20"/>
        </w:rPr>
        <w:t xml:space="preserve">ALTERNATIF 2: </w:t>
      </w:r>
      <w:r>
        <w:rPr>
          <w:rFonts w:ascii="Arial" w:cs="Arial" w:eastAsia="Arial" w:hAnsi="Arial"/>
          <w:b/>
          <w:bCs/>
          <w:sz w:val="20"/>
          <w:szCs w:val="20"/>
        </w:rPr>
        <w:t xml:space="preserve">Kawasan Simpang Empat Tangse – Sigli</w:t>
      </w:r>
    </w:p>
    <w:p>
      <w:pPr>
        <w:spacing w:after="80" w:before="40"/>
        <w:jc w:val="both"/>
      </w:pPr>
      <w:r>
        <w:rPr>
          <w:rFonts w:ascii="Arial" w:cs="Arial" w:eastAsia="Arial" w:hAnsi="Arial"/>
          <w:sz w:val="20"/>
          <w:szCs w:val="20"/>
        </w:rPr>
        <w:t xml:space="preserve">Koordinat: 5.3950, 95.9700 | Jl. Sigli – Tangse / Jl. Nasional | Kota Bakti, Kota Sigli, Kabupaten Pidie, Aceh</w:t>
      </w:r>
    </w:p>
    <w:p>
      <w:pPr>
        <w:spacing w:after="80" w:before="40"/>
        <w:jc w:val="both"/>
      </w:pPr>
      <w:r>
        <w:rPr>
          <w:rFonts w:ascii="Arial" w:cs="Arial" w:eastAsia="Arial" w:hAnsi="Arial"/>
          <w:sz w:val="20"/>
          <w:szCs w:val="20"/>
        </w:rPr>
        <w:t xml:space="preserve">Deskripsi: Simpang strategis Sigli–Tangse. Akses ke wilayah pedalaman Pidie (Tangse, Geumpang). Dekat pusat pasar Sigli.</w:t>
      </w:r>
    </w:p>
    <w:p>
      <w:pPr>
        <w:spacing w:after="80" w:before="40"/>
        <w:jc w:val="both"/>
      </w:pPr>
      <w:r>
        <w:rPr>
          <w:rFonts w:ascii="Arial" w:cs="Arial" w:eastAsia="Arial" w:hAnsi="Arial"/>
          <w:sz w:val="20"/>
          <w:szCs w:val="20"/>
        </w:rPr>
        <w:t xml:space="preserve">Alasan Pemilihan: Menjangkau pelanggan pedalaman Pidie yang tidak terlayani dari Banda Aceh; posisi centroid distribusi seluruh wilayah Pidie.</w:t>
      </w:r>
    </w:p>
    <w:p>
      <w:pPr>
        <w:spacing w:after="80" w:before="40"/>
        <w:jc w:val="both"/>
      </w:pPr>
      <w:r>
        <w:rPr>
          <w:rFonts w:ascii="Arial" w:cs="Arial" w:eastAsia="Arial" w:hAnsi="Arial"/>
          <w:sz w:val="20"/>
          <w:szCs w:val="20"/>
        </w:rPr>
        <w:t xml:space="preserve">Metrik: Jarak dari Arun 156.5 km | Waktu tempuh 2j 37m | Biaya BBM Mix Rp 652.660 | Skor WLS: 7.90/10,00</w:t>
      </w:r>
    </w:p>
    <w:p>
      <w:pPr>
        <w:spacing w:after="40" w:before="120"/>
      </w:pPr>
      <w:r>
        <w:rPr>
          <w:rFonts w:ascii="Arial" w:cs="Arial" w:eastAsia="Arial" w:hAnsi="Arial"/>
          <w:b/>
          <w:bCs/>
          <w:color w:val="2E75B6"/>
          <w:sz w:val="20"/>
          <w:szCs w:val="20"/>
        </w:rPr>
        <w:t xml:space="preserve">ALTERNATIF 3: </w:t>
      </w:r>
      <w:r>
        <w:rPr>
          <w:rFonts w:ascii="Arial" w:cs="Arial" w:eastAsia="Arial" w:hAnsi="Arial"/>
          <w:b/>
          <w:bCs/>
          <w:sz w:val="20"/>
          <w:szCs w:val="20"/>
        </w:rPr>
        <w:t xml:space="preserve">Kawasan Industri Simpang Sigli – Pidie Jaya</w:t>
      </w:r>
    </w:p>
    <w:p>
      <w:pPr>
        <w:spacing w:after="80" w:before="40"/>
        <w:jc w:val="both"/>
      </w:pPr>
      <w:r>
        <w:rPr>
          <w:rFonts w:ascii="Arial" w:cs="Arial" w:eastAsia="Arial" w:hAnsi="Arial"/>
          <w:sz w:val="20"/>
          <w:szCs w:val="20"/>
        </w:rPr>
        <w:t xml:space="preserve">Koordinat: 5.3800, 96.0000 | Jl. Sigli – Meureudu (Nasional) | Meunasah Blang, Kota Sigli, Kabupaten Pidie, Aceh</w:t>
      </w:r>
    </w:p>
    <w:p>
      <w:pPr>
        <w:spacing w:after="80" w:before="40"/>
        <w:jc w:val="both"/>
      </w:pPr>
      <w:r>
        <w:rPr>
          <w:rFonts w:ascii="Arial" w:cs="Arial" w:eastAsia="Arial" w:hAnsi="Arial"/>
          <w:sz w:val="20"/>
          <w:szCs w:val="20"/>
        </w:rPr>
        <w:t xml:space="preserve">Deskripsi: Sisi timur Sigli menuju Pidie Jaya. Kawasan terbuka dengan akses truk mudah. Potensi ekspansi distribusi ke Kabupaten Pidie Jaya.</w:t>
      </w:r>
    </w:p>
    <w:p>
      <w:pPr>
        <w:spacing w:after="80" w:before="40"/>
        <w:jc w:val="both"/>
      </w:pPr>
      <w:r>
        <w:rPr>
          <w:rFonts w:ascii="Arial" w:cs="Arial" w:eastAsia="Arial" w:hAnsi="Arial"/>
          <w:sz w:val="20"/>
          <w:szCs w:val="20"/>
        </w:rPr>
        <w:t xml:space="preserve">Alasan Pemilihan: Jangkauan distribusi mencakup Sigli dan Pidie Jaya sekaligus; area terbuka tersedia untuk pengembangan fasilitas lebih luas.</w:t>
      </w:r>
    </w:p>
    <w:p>
      <w:pPr>
        <w:spacing w:after="80" w:before="40"/>
        <w:jc w:val="both"/>
      </w:pPr>
      <w:r>
        <w:rPr>
          <w:rFonts w:ascii="Arial" w:cs="Arial" w:eastAsia="Arial" w:hAnsi="Arial"/>
          <w:sz w:val="20"/>
          <w:szCs w:val="20"/>
        </w:rPr>
        <w:t xml:space="preserve">Metrik: Jarak dari Arun 152.1 km | Waktu tempuh 2j 32m | Biaya BBM Mix Rp 617.500 | Skor WLS: 7.47/10,00</w:t>
      </w:r>
    </w:p>
    <w:p>
      <w:r>
        <w:br w:type="page"/>
      </w:r>
    </w:p>
    <w:p>
      <w:pPr>
        <w:pStyle w:val="Heading1"/>
        <w:pBdr>
          <w:bottom w:val="single" w:color="2E75B6" w:sz="8" w:space="4"/>
        </w:pBdr>
        <w:spacing w:after="120" w:before="280"/>
      </w:pPr>
      <w:r>
        <w:rPr>
          <w:rFonts w:ascii="Arial" w:cs="Arial" w:eastAsia="Arial" w:hAnsi="Arial"/>
          <w:b/>
          <w:bCs/>
          <w:color w:val="1F3864"/>
          <w:sz w:val="28"/>
          <w:szCs w:val="28"/>
        </w:rPr>
        <w:t xml:space="preserve">6. REKOMENDASI AKHIR</w:t>
      </w:r>
    </w:p>
    <w:p>
      <w:pPr>
        <w:spacing w:after="80" w:before="40"/>
        <w:jc w:val="both"/>
      </w:pPr>
      <w:r>
        <w:rPr>
          <w:rFonts w:ascii="Arial" w:cs="Arial" w:eastAsia="Arial" w:hAnsi="Arial"/>
          <w:sz w:val="20"/>
          <w:szCs w:val="20"/>
        </w:rPr>
        <w:t xml:space="preserve">Berdasarkan analisis Weighted Location Scoring (WLS) terhadap 12 kandidat lokasi di tiga wilayah, berikut rekomendasi lokasi Sub-WO:</w:t>
      </w:r>
    </w:p>
    <w:p>
      <w:pPr>
        <w:spacing w:after="60" w:before="60"/>
      </w:pPr>
      <w:r>
        <w:rPr>
          <w:rFonts w:ascii="Arial" w:cs="Arial" w:eastAsia="Arial" w:hAnsi="Arial"/>
          <w:b w:val="false"/>
          <w:bCs w:val="false"/>
          <w:i w:val="false"/>
          <w:iCs w:val="false"/>
          <w:color w:val="000000"/>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1200"/>
        <w:gridCol w:w="1200"/>
        <w:gridCol w:w="1226"/>
        <w:gridCol w:w="1500"/>
      </w:tblGrid>
      <w:tr>
        <w:trPr>
          <w:tblHeader/>
        </w:trPr>
        <w:tc>
          <w:tcPr>
            <w:tcW w:type="dxa" w:w="1400"/>
            <w:tcBorders>
              <w:top w:val="single" w:color="FFFFFF" w:sz="1"/>
              <w:left w:val="single" w:color="FFFFFF" w:sz="1"/>
              <w:bottom w:val="single" w:color="FFFFFF" w:sz="1"/>
              <w:right w:val="single" w:color="FFFFFF" w:sz="1"/>
            </w:tcBorders>
            <w:shd w:fill="1F3864" w:val="clear"/>
            <w:tcMar>
              <w:top w:type="dxa" w:w="60"/>
              <w:left w:type="dxa" w:w="80"/>
              <w:bottom w:type="dxa" w:w="60"/>
              <w:right w:type="dxa" w:w="80"/>
            </w:tcMar>
            <w:vAlign w:val="center"/>
          </w:tcPr>
          <w:p>
            <w:pPr>
              <w:spacing w:after="40" w:before="40"/>
              <w:jc w:val="center"/>
            </w:pPr>
            <w:r>
              <w:rPr>
                <w:rFonts w:ascii="Arial" w:cs="Arial" w:eastAsia="Arial" w:hAnsi="Arial"/>
                <w:b/>
                <w:bCs/>
                <w:color w:val="FFFFFF"/>
                <w:sz w:val="17"/>
                <w:szCs w:val="17"/>
              </w:rPr>
              <w:t xml:space="preserve">Wilayah</w:t>
            </w:r>
          </w:p>
        </w:tc>
        <w:tc>
          <w:tcPr>
            <w:tcW w:type="dxa" w:w="2500"/>
            <w:tcBorders>
              <w:top w:val="single" w:color="FFFFFF" w:sz="1"/>
              <w:left w:val="single" w:color="FFFFFF" w:sz="1"/>
              <w:bottom w:val="single" w:color="FFFFFF" w:sz="1"/>
              <w:right w:val="single" w:color="FFFFFF" w:sz="1"/>
            </w:tcBorders>
            <w:shd w:fill="1F3864" w:val="clear"/>
            <w:tcMar>
              <w:top w:type="dxa" w:w="60"/>
              <w:left w:type="dxa" w:w="80"/>
              <w:bottom w:type="dxa" w:w="60"/>
              <w:right w:type="dxa" w:w="80"/>
            </w:tcMar>
            <w:vAlign w:val="center"/>
          </w:tcPr>
          <w:p>
            <w:pPr>
              <w:spacing w:after="40" w:before="40"/>
              <w:jc w:val="center"/>
            </w:pPr>
            <w:r>
              <w:rPr>
                <w:rFonts w:ascii="Arial" w:cs="Arial" w:eastAsia="Arial" w:hAnsi="Arial"/>
                <w:b/>
                <w:bCs/>
                <w:color w:val="FFFFFF"/>
                <w:sz w:val="17"/>
                <w:szCs w:val="17"/>
              </w:rPr>
              <w:t xml:space="preserve">Lokasi Terbaik</w:t>
            </w:r>
          </w:p>
        </w:tc>
        <w:tc>
          <w:tcPr>
            <w:tcW w:type="dxa" w:w="1200"/>
            <w:tcBorders>
              <w:top w:val="single" w:color="FFFFFF" w:sz="1"/>
              <w:left w:val="single" w:color="FFFFFF" w:sz="1"/>
              <w:bottom w:val="single" w:color="FFFFFF" w:sz="1"/>
              <w:right w:val="single" w:color="FFFFFF" w:sz="1"/>
            </w:tcBorders>
            <w:shd w:fill="1F3864" w:val="clear"/>
            <w:tcMar>
              <w:top w:type="dxa" w:w="60"/>
              <w:left w:type="dxa" w:w="80"/>
              <w:bottom w:type="dxa" w:w="60"/>
              <w:right w:type="dxa" w:w="80"/>
            </w:tcMar>
            <w:vAlign w:val="center"/>
          </w:tcPr>
          <w:p>
            <w:pPr>
              <w:spacing w:after="40" w:before="40"/>
              <w:jc w:val="center"/>
            </w:pPr>
            <w:r>
              <w:rPr>
                <w:rFonts w:ascii="Arial" w:cs="Arial" w:eastAsia="Arial" w:hAnsi="Arial"/>
                <w:b/>
                <w:bCs/>
                <w:color w:val="FFFFFF"/>
                <w:sz w:val="17"/>
                <w:szCs w:val="17"/>
              </w:rPr>
              <w:t xml:space="preserve">Koordinat</w:t>
            </w:r>
          </w:p>
        </w:tc>
        <w:tc>
          <w:tcPr>
            <w:tcW w:type="dxa" w:w="1200"/>
            <w:tcBorders>
              <w:top w:val="single" w:color="FFFFFF" w:sz="1"/>
              <w:left w:val="single" w:color="FFFFFF" w:sz="1"/>
              <w:bottom w:val="single" w:color="FFFFFF" w:sz="1"/>
              <w:right w:val="single" w:color="FFFFFF" w:sz="1"/>
            </w:tcBorders>
            <w:shd w:fill="1F3864" w:val="clear"/>
            <w:tcMar>
              <w:top w:type="dxa" w:w="60"/>
              <w:left w:type="dxa" w:w="80"/>
              <w:bottom w:type="dxa" w:w="60"/>
              <w:right w:type="dxa" w:w="80"/>
            </w:tcMar>
            <w:vAlign w:val="center"/>
          </w:tcPr>
          <w:p>
            <w:pPr>
              <w:spacing w:after="40" w:before="40"/>
              <w:jc w:val="center"/>
            </w:pPr>
            <w:r>
              <w:rPr>
                <w:rFonts w:ascii="Arial" w:cs="Arial" w:eastAsia="Arial" w:hAnsi="Arial"/>
                <w:b/>
                <w:bCs/>
                <w:color w:val="FFFFFF"/>
                <w:sz w:val="17"/>
                <w:szCs w:val="17"/>
              </w:rPr>
              <w:t xml:space="preserve">Jarak Arun</w:t>
            </w:r>
          </w:p>
        </w:tc>
        <w:tc>
          <w:tcPr>
            <w:tcW w:type="dxa" w:w="1226"/>
            <w:tcBorders>
              <w:top w:val="single" w:color="FFFFFF" w:sz="1"/>
              <w:left w:val="single" w:color="FFFFFF" w:sz="1"/>
              <w:bottom w:val="single" w:color="FFFFFF" w:sz="1"/>
              <w:right w:val="single" w:color="FFFFFF" w:sz="1"/>
            </w:tcBorders>
            <w:shd w:fill="1F3864" w:val="clear"/>
            <w:tcMar>
              <w:top w:type="dxa" w:w="60"/>
              <w:left w:type="dxa" w:w="80"/>
              <w:bottom w:type="dxa" w:w="60"/>
              <w:right w:type="dxa" w:w="80"/>
            </w:tcMar>
            <w:vAlign w:val="center"/>
          </w:tcPr>
          <w:p>
            <w:pPr>
              <w:spacing w:after="40" w:before="40"/>
              <w:jc w:val="center"/>
            </w:pPr>
            <w:r>
              <w:rPr>
                <w:rFonts w:ascii="Arial" w:cs="Arial" w:eastAsia="Arial" w:hAnsi="Arial"/>
                <w:b/>
                <w:bCs/>
                <w:color w:val="FFFFFF"/>
                <w:sz w:val="17"/>
                <w:szCs w:val="17"/>
              </w:rPr>
              <w:t xml:space="preserve">Waktu Tempuh</w:t>
            </w:r>
          </w:p>
        </w:tc>
        <w:tc>
          <w:tcPr>
            <w:tcW w:type="dxa" w:w="1500"/>
            <w:tcBorders>
              <w:top w:val="single" w:color="FFFFFF" w:sz="1"/>
              <w:left w:val="single" w:color="FFFFFF" w:sz="1"/>
              <w:bottom w:val="single" w:color="FFFFFF" w:sz="1"/>
              <w:right w:val="single" w:color="FFFFFF" w:sz="1"/>
            </w:tcBorders>
            <w:shd w:fill="1F3864" w:val="clear"/>
            <w:tcMar>
              <w:top w:type="dxa" w:w="60"/>
              <w:left w:type="dxa" w:w="80"/>
              <w:bottom w:type="dxa" w:w="60"/>
              <w:right w:type="dxa" w:w="80"/>
            </w:tcMar>
            <w:vAlign w:val="center"/>
          </w:tcPr>
          <w:p>
            <w:pPr>
              <w:spacing w:after="40" w:before="40"/>
              <w:jc w:val="center"/>
            </w:pPr>
            <w:r>
              <w:rPr>
                <w:rFonts w:ascii="Arial" w:cs="Arial" w:eastAsia="Arial" w:hAnsi="Arial"/>
                <w:b/>
                <w:bCs/>
                <w:color w:val="FFFFFF"/>
                <w:sz w:val="17"/>
                <w:szCs w:val="17"/>
              </w:rPr>
              <w:t xml:space="preserve">Biaya BBM (Mix)</w:t>
            </w:r>
          </w:p>
        </w:tc>
      </w:tr>
      <w:tr>
        <w:tc>
          <w:tcPr>
            <w:tcW w:type="dxa" w:w="14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80"/>
            </w:tcMar>
            <w:vAlign w:val="center"/>
          </w:tcPr>
          <w:p>
            <w:pPr>
              <w:spacing w:after="30" w:before="30"/>
              <w:jc w:val="left"/>
            </w:pPr>
            <w:r>
              <w:rPr>
                <w:rFonts w:ascii="Arial" w:cs="Arial" w:eastAsia="Arial" w:hAnsi="Arial"/>
                <w:b/>
                <w:bCs/>
                <w:color w:val="000000"/>
                <w:sz w:val="17"/>
                <w:szCs w:val="17"/>
              </w:rPr>
              <w:t xml:space="preserve">Lhokseumawe</w:t>
            </w:r>
          </w:p>
        </w:tc>
        <w:tc>
          <w:tcPr>
            <w:tcW w:type="dxa" w:w="25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Kawasan Industri Jln. Merdeka Barat – Muara Dua</w:t>
            </w:r>
          </w:p>
        </w:tc>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5.1801, 97.1502</w:t>
            </w:r>
          </w:p>
        </w:tc>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11.4 km</w:t>
            </w:r>
          </w:p>
        </w:tc>
        <w:tc>
          <w:tcPr>
            <w:tcW w:type="dxa" w:w="1226"/>
            <w:tcBorders>
              <w:top w:val="single" w:color="CCCCCC" w:sz="1"/>
              <w:left w:val="single" w:color="CCCCCC" w:sz="1"/>
              <w:bottom w:val="single" w:color="CCCCCC" w:sz="1"/>
              <w:right w:val="single" w:color="CCCCCC" w:sz="1"/>
            </w:tcBorders>
            <w:shd w:fill="E2EFDA"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0j 15m</w:t>
            </w:r>
          </w:p>
        </w:tc>
        <w:tc>
          <w:tcPr>
            <w:tcW w:type="dxa" w:w="15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Rp 31.280</w:t>
            </w:r>
          </w:p>
        </w:tc>
      </w:tr>
      <w:tr>
        <w:tc>
          <w:tcPr>
            <w:tcW w:type="dxa" w:w="14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80"/>
            </w:tcMar>
            <w:vAlign w:val="center"/>
          </w:tcPr>
          <w:p>
            <w:pPr>
              <w:spacing w:after="30" w:before="30"/>
              <w:jc w:val="left"/>
            </w:pPr>
            <w:r>
              <w:rPr>
                <w:rFonts w:ascii="Arial" w:cs="Arial" w:eastAsia="Arial" w:hAnsi="Arial"/>
                <w:b/>
                <w:bCs/>
                <w:color w:val="000000"/>
                <w:sz w:val="17"/>
                <w:szCs w:val="17"/>
              </w:rPr>
              <w:t xml:space="preserve">Bireuen</w:t>
            </w:r>
          </w:p>
        </w:tc>
        <w:tc>
          <w:tcPr>
            <w:tcW w:type="dxa" w:w="25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Kawasan Industri Jln. Nasional Bireuen Timur</w:t>
            </w:r>
          </w:p>
        </w:tc>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5.2070, 96.7050</w:t>
            </w:r>
          </w:p>
        </w:tc>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57.2 km</w:t>
            </w:r>
          </w:p>
        </w:tc>
        <w:tc>
          <w:tcPr>
            <w:tcW w:type="dxa" w:w="1226"/>
            <w:tcBorders>
              <w:top w:val="single" w:color="CCCCCC" w:sz="1"/>
              <w:left w:val="single" w:color="CCCCCC" w:sz="1"/>
              <w:bottom w:val="single" w:color="CCCCCC" w:sz="1"/>
              <w:right w:val="single" w:color="CCCCCC" w:sz="1"/>
            </w:tcBorders>
            <w:shd w:fill="E2EFDA"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1j 16m</w:t>
            </w:r>
          </w:p>
        </w:tc>
        <w:tc>
          <w:tcPr>
            <w:tcW w:type="dxa" w:w="15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Rp 156.800</w:t>
            </w:r>
          </w:p>
        </w:tc>
      </w:tr>
      <w:tr>
        <w:tc>
          <w:tcPr>
            <w:tcW w:type="dxa" w:w="14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80"/>
            </w:tcMar>
            <w:vAlign w:val="center"/>
          </w:tcPr>
          <w:p>
            <w:pPr>
              <w:spacing w:after="30" w:before="30"/>
              <w:jc w:val="left"/>
            </w:pPr>
            <w:r>
              <w:rPr>
                <w:rFonts w:ascii="Arial" w:cs="Arial" w:eastAsia="Arial" w:hAnsi="Arial"/>
                <w:b/>
                <w:bCs/>
                <w:color w:val="000000"/>
                <w:sz w:val="17"/>
                <w:szCs w:val="17"/>
              </w:rPr>
              <w:t xml:space="preserve">Sigli</w:t>
            </w:r>
          </w:p>
        </w:tc>
        <w:tc>
          <w:tcPr>
            <w:tcW w:type="dxa" w:w="25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Kawasan Jln. T.M. Daud Beureueh – Sigli Utara</w:t>
            </w:r>
          </w:p>
        </w:tc>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5.3870, 95.9600</w:t>
            </w:r>
          </w:p>
        </w:tc>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157.7 km</w:t>
            </w:r>
          </w:p>
        </w:tc>
        <w:tc>
          <w:tcPr>
            <w:tcW w:type="dxa" w:w="1226"/>
            <w:tcBorders>
              <w:top w:val="single" w:color="CCCCCC" w:sz="1"/>
              <w:left w:val="single" w:color="CCCCCC" w:sz="1"/>
              <w:bottom w:val="single" w:color="CCCCCC" w:sz="1"/>
              <w:right w:val="single" w:color="CCCCCC" w:sz="1"/>
            </w:tcBorders>
            <w:shd w:fill="E2EFDA" w:val="clear"/>
            <w:tcMar>
              <w:top w:type="dxa" w:w="60"/>
              <w:left w:type="dxa" w:w="100"/>
              <w:bottom w:type="dxa" w:w="60"/>
              <w:right w:type="dxa" w:w="80"/>
            </w:tcMar>
            <w:vAlign w:val="center"/>
          </w:tcPr>
          <w:p>
            <w:pPr>
              <w:spacing w:after="30" w:before="30"/>
              <w:jc w:val="center"/>
            </w:pPr>
            <w:r>
              <w:rPr>
                <w:rFonts w:ascii="Arial" w:cs="Arial" w:eastAsia="Arial" w:hAnsi="Arial"/>
                <w:b w:val="false"/>
                <w:bCs w:val="false"/>
                <w:color w:val="000000"/>
                <w:sz w:val="17"/>
                <w:szCs w:val="17"/>
              </w:rPr>
              <w:t xml:space="preserve">2j 38m</w:t>
            </w:r>
          </w:p>
        </w:tc>
        <w:tc>
          <w:tcPr>
            <w:tcW w:type="dxa" w:w="15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80"/>
            </w:tcMar>
            <w:vAlign w:val="center"/>
          </w:tcPr>
          <w:p>
            <w:pPr>
              <w:spacing w:after="30" w:before="30"/>
              <w:jc w:val="left"/>
            </w:pPr>
            <w:r>
              <w:rPr>
                <w:rFonts w:ascii="Arial" w:cs="Arial" w:eastAsia="Arial" w:hAnsi="Arial"/>
                <w:b w:val="false"/>
                <w:bCs w:val="false"/>
                <w:color w:val="000000"/>
                <w:sz w:val="17"/>
                <w:szCs w:val="17"/>
              </w:rPr>
              <w:t xml:space="preserve">Rp 666.530</w:t>
            </w:r>
          </w:p>
        </w:tc>
      </w:tr>
    </w:tbl>
    <w:p>
      <w:pPr>
        <w:spacing w:after="60" w:before="60"/>
      </w:pPr>
      <w:r>
        <w:rPr>
          <w:rFonts w:ascii="Arial" w:cs="Arial" w:eastAsia="Arial" w:hAnsi="Arial"/>
          <w:b w:val="false"/>
          <w:bCs w:val="false"/>
          <w:i w:val="false"/>
          <w:iCs w:val="false"/>
          <w:color w:val="000000"/>
          <w:sz w:val="20"/>
          <w:szCs w:val="20"/>
        </w:rPr>
        <w:t xml:space="preserve"/>
      </w:r>
    </w:p>
    <w:p>
      <w:pPr>
        <w:pStyle w:val="Heading2"/>
        <w:spacing w:after="80" w:before="200"/>
      </w:pPr>
      <w:r>
        <w:rPr>
          <w:rFonts w:ascii="Arial" w:cs="Arial" w:eastAsia="Arial" w:hAnsi="Arial"/>
          <w:b/>
          <w:bCs/>
          <w:color w:val="2E75B6"/>
          <w:sz w:val="24"/>
          <w:szCs w:val="24"/>
        </w:rPr>
        <w:t xml:space="preserve">6.1 Catatan Penting per Wilayah</w:t>
      </w:r>
    </w:p>
    <w:p>
      <w:pPr>
        <w:pStyle w:val="Heading3"/>
        <w:spacing w:after="60" w:before="160"/>
      </w:pPr>
      <w:r>
        <w:rPr>
          <w:rFonts w:ascii="Arial" w:cs="Arial" w:eastAsia="Arial" w:hAnsi="Arial"/>
          <w:b/>
          <w:bCs/>
          <w:color w:val="2E4057"/>
          <w:sz w:val="22"/>
          <w:szCs w:val="22"/>
        </w:rPr>
        <w:t xml:space="preserve">Lhokseumawe</w:t>
      </w:r>
    </w:p>
    <w:p>
      <w:pPr>
        <w:spacing w:after="80" w:before="40"/>
        <w:jc w:val="both"/>
      </w:pPr>
      <w:r>
        <w:rPr>
          <w:rFonts w:ascii="Arial" w:cs="Arial" w:eastAsia="Arial" w:hAnsi="Arial"/>
          <w:sz w:val="20"/>
          <w:szCs w:val="20"/>
        </w:rPr>
        <w:t xml:space="preserve">Lokasi terbaik (Jl. Merdeka Barat, Mon Geudong) dipilih karena keseimbangan antara akses jalan nasional, posisi sentral kota, dan sinergi dengan KEK Arun. Lokasi Alternatif 2 (Batuphat) memiliki skor WLS sedikit lebih tinggi (8,85 vs 8,78) namun diprioritaskan sebagai alternatif karena lokasi tersebut lebih jauh dari pusat demand kota dan lebih bersifat zona industri berat yang mungkin memerlukan perizinan khusus tambahan.</w:t>
      </w:r>
    </w:p>
    <w:p>
      <w:pPr>
        <w:pStyle w:val="Heading3"/>
        <w:spacing w:after="60" w:before="160"/>
      </w:pPr>
      <w:r>
        <w:rPr>
          <w:rFonts w:ascii="Arial" w:cs="Arial" w:eastAsia="Arial" w:hAnsi="Arial"/>
          <w:b/>
          <w:bCs/>
          <w:color w:val="2E4057"/>
          <w:sz w:val="22"/>
          <w:szCs w:val="22"/>
        </w:rPr>
        <w:t xml:space="preserve">Bireuen</w:t>
      </w:r>
    </w:p>
    <w:p>
      <w:pPr>
        <w:spacing w:after="80" w:before="40"/>
        <w:jc w:val="both"/>
      </w:pPr>
      <w:r>
        <w:rPr>
          <w:rFonts w:ascii="Arial" w:cs="Arial" w:eastAsia="Arial" w:hAnsi="Arial"/>
          <w:sz w:val="20"/>
          <w:szCs w:val="20"/>
        </w:rPr>
        <w:t xml:space="preserve">Lokasi terbaik (Kawasan Industri Jl. Nasional, Geulanggang Teungoh) unggul karena posisinya yang tepat di persimpangan jalan nasional dan dekat akses ke Jl. Bireuen–Takengon, menjadikannya titik distribusi multi-arah paling efisien di Bireuen. Jangkauan distribusi mencakup Bireuen kota, Bener Meriah, dan Aceh Tengah dari satu titik.</w:t>
      </w:r>
    </w:p>
    <w:p>
      <w:pPr>
        <w:pStyle w:val="Heading3"/>
        <w:spacing w:after="60" w:before="160"/>
      </w:pPr>
      <w:r>
        <w:rPr>
          <w:rFonts w:ascii="Arial" w:cs="Arial" w:eastAsia="Arial" w:hAnsi="Arial"/>
          <w:b/>
          <w:bCs/>
          <w:color w:val="2E4057"/>
          <w:sz w:val="22"/>
          <w:szCs w:val="22"/>
        </w:rPr>
        <w:t xml:space="preserve">Sigli</w:t>
      </w:r>
    </w:p>
    <w:p>
      <w:pPr>
        <w:spacing w:after="80" w:before="40"/>
        <w:jc w:val="both"/>
      </w:pPr>
      <w:r>
        <w:rPr>
          <w:rFonts w:ascii="Arial" w:cs="Arial" w:eastAsia="Arial" w:hAnsi="Arial"/>
          <w:sz w:val="20"/>
          <w:szCs w:val="20"/>
        </w:rPr>
        <w:t xml:space="preserve">Lokasi terbaik (Jl. T.M. Daud Beureueh, Blang Asan) dipilih karena posisi sentral Kota Sigli yang memaksimalkan jangkauan distribusi. Alternatif 1 (Jl. Padang Tiji) memiliki skor WLS lebih tinggi (8,55 vs 8,45) karena lebih dekat exit tol, namun lokasinya di pinggiran barat kota sehingga jangkauan ke pusat demand lebih terbatas. Pemilihan lokasi akhir dapat disesuaikan dengan hasil survei lapangan dan negosiasi lahan.</w:t>
      </w:r>
    </w:p>
    <w:p>
      <w:pPr>
        <w:pStyle w:val="Heading2"/>
        <w:spacing w:after="80" w:before="200"/>
      </w:pPr>
      <w:r>
        <w:rPr>
          <w:rFonts w:ascii="Arial" w:cs="Arial" w:eastAsia="Arial" w:hAnsi="Arial"/>
          <w:b/>
          <w:bCs/>
          <w:color w:val="2E75B6"/>
          <w:sz w:val="24"/>
          <w:szCs w:val="24"/>
        </w:rPr>
        <w:t xml:space="preserve">6.2 Urutan Prioritas Pembangunan</w:t>
      </w:r>
    </w:p>
    <w:p>
      <w:pPr>
        <w:spacing w:after="80" w:before="40"/>
        <w:jc w:val="both"/>
      </w:pPr>
      <w:r>
        <w:rPr>
          <w:rFonts w:ascii="Arial" w:cs="Arial" w:eastAsia="Arial" w:hAnsi="Arial"/>
          <w:sz w:val="20"/>
          <w:szCs w:val="20"/>
        </w:rPr>
        <w:t xml:space="preserve">Berdasarkan pertimbangan dampak dan kepraktisan operasional, urutan prioritas pembangunan Sub-WO yang disarankan:</w:t>
      </w:r>
    </w:p>
    <w:p>
      <w:pPr>
        <w:pStyle w:val="ListParagraph"/>
        <w:numPr>
          <w:ilvl w:val="0"/>
          <w:numId w:val="2"/>
        </w:numPr>
        <w:spacing w:after="40" w:before="40"/>
      </w:pPr>
      <w:r>
        <w:rPr>
          <w:rFonts w:ascii="Arial" w:cs="Arial" w:eastAsia="Arial" w:hAnsi="Arial"/>
          <w:sz w:val="20"/>
          <w:szCs w:val="20"/>
        </w:rPr>
        <w:t xml:space="preserve">Prioritas 1 – Lhokseumawe: Paling dekat ke sumber Arun, biaya distribusi terendah, KEK Arun memberikan kemudahan regulasi</w:t>
      </w:r>
    </w:p>
    <w:p>
      <w:pPr>
        <w:pStyle w:val="ListParagraph"/>
        <w:numPr>
          <w:ilvl w:val="0"/>
          <w:numId w:val="2"/>
        </w:numPr>
        <w:spacing w:after="40" w:before="40"/>
      </w:pPr>
      <w:r>
        <w:rPr>
          <w:rFonts w:ascii="Arial" w:cs="Arial" w:eastAsia="Arial" w:hAnsi="Arial"/>
          <w:sz w:val="20"/>
          <w:szCs w:val="20"/>
        </w:rPr>
        <w:t xml:space="preserve">Prioritas 2 – Sigli: Mengurangi beban WO Banda Aceh paling signifikan, tol hampir beroperasi penuh</w:t>
      </w:r>
    </w:p>
    <w:p>
      <w:pPr>
        <w:pStyle w:val="ListParagraph"/>
        <w:numPr>
          <w:ilvl w:val="0"/>
          <w:numId w:val="2"/>
        </w:numPr>
        <w:spacing w:after="40" w:before="40"/>
      </w:pPr>
      <w:r>
        <w:rPr>
          <w:rFonts w:ascii="Arial" w:cs="Arial" w:eastAsia="Arial" w:hAnsi="Arial"/>
          <w:sz w:val="20"/>
          <w:szCs w:val="20"/>
        </w:rPr>
        <w:t xml:space="preserve">Prioritas 3 – Bireuen: Melengkapi jaringan di koridor tengah dan membuka akses ke pedalaman Aceh</w:t>
      </w:r>
    </w:p>
    <w:p>
      <w:r>
        <w:br w:type="page"/>
      </w:r>
    </w:p>
    <w:p>
      <w:pPr>
        <w:pStyle w:val="Heading1"/>
        <w:pBdr>
          <w:bottom w:val="single" w:color="2E75B6" w:sz="8" w:space="4"/>
        </w:pBdr>
        <w:spacing w:after="120" w:before="280"/>
      </w:pPr>
      <w:r>
        <w:rPr>
          <w:rFonts w:ascii="Arial" w:cs="Arial" w:eastAsia="Arial" w:hAnsi="Arial"/>
          <w:b/>
          <w:bCs/>
          <w:color w:val="1F3864"/>
          <w:sz w:val="28"/>
          <w:szCs w:val="28"/>
        </w:rPr>
        <w:t xml:space="preserve">7. ESTIMASI BIAYA DISTRIBUSI</w:t>
      </w:r>
    </w:p>
    <w:p>
      <w:pPr>
        <w:spacing w:after="80" w:before="40"/>
        <w:jc w:val="both"/>
      </w:pPr>
      <w:r>
        <w:rPr>
          <w:rFonts w:ascii="Arial" w:cs="Arial" w:eastAsia="Arial" w:hAnsi="Arial"/>
          <w:sz w:val="20"/>
          <w:szCs w:val="20"/>
        </w:rPr>
        <w:t xml:space="preserve">Berikut rekapitulasi estimasi biaya BBM per trip pulang-pergi (PP) untuk lokasi terbaik masing-masing wilayah. Biaya dihitung berdasarkan skenario Mix (Bio Solar maksimal 50L + Dexlite untuk sisa) yang paling realistis secara operasional.</w:t>
      </w:r>
    </w:p>
    <w:p>
      <w:pPr>
        <w:pStyle w:val="ListParagraph"/>
        <w:numPr>
          <w:ilvl w:val="0"/>
          <w:numId w:val="2"/>
        </w:numPr>
        <w:spacing w:after="40" w:before="40"/>
      </w:pPr>
      <w:r>
        <w:rPr>
          <w:rFonts w:ascii="Arial" w:cs="Arial" w:eastAsia="Arial" w:hAnsi="Arial"/>
          <w:sz w:val="20"/>
          <w:szCs w:val="20"/>
        </w:rPr>
        <w:t xml:space="preserve">Lhokseumawe (Jl. Merdeka Barat): Rp 31.280/trip | BBM total 4,6 liter | Sangat efisien, seluruh kebutuhan dapat dipenuhi dengan Bio Solar</w:t>
      </w:r>
    </w:p>
    <w:p>
      <w:pPr>
        <w:pStyle w:val="ListParagraph"/>
        <w:numPr>
          <w:ilvl w:val="0"/>
          <w:numId w:val="2"/>
        </w:numPr>
        <w:spacing w:after="40" w:before="40"/>
      </w:pPr>
      <w:r>
        <w:rPr>
          <w:rFonts w:ascii="Arial" w:cs="Arial" w:eastAsia="Arial" w:hAnsi="Arial"/>
          <w:sz w:val="20"/>
          <w:szCs w:val="20"/>
        </w:rPr>
        <w:t xml:space="preserve">Bireuen (Jl. Nasional Timur): Rp 156.800/trip | BBM total 23,0 liter | Efisien, masih dalam kuota Bio Solar 50L</w:t>
      </w:r>
    </w:p>
    <w:p>
      <w:pPr>
        <w:pStyle w:val="ListParagraph"/>
        <w:numPr>
          <w:ilvl w:val="0"/>
          <w:numId w:val="2"/>
        </w:numPr>
        <w:spacing w:after="40" w:before="40"/>
      </w:pPr>
      <w:r>
        <w:rPr>
          <w:rFonts w:ascii="Arial" w:cs="Arial" w:eastAsia="Arial" w:hAnsi="Arial"/>
          <w:sz w:val="20"/>
          <w:szCs w:val="20"/>
        </w:rPr>
        <w:t xml:space="preserve">Sigli (Jl. T.M. Daud Beureueh): Rp 666.530/trip | BBM total 63,5 liter | Melampaui kuota Bio Solar 50L, sisa 13,5L menggunakan Dexlite</w:t>
      </w:r>
    </w:p>
    <w:p>
      <w:pPr>
        <w:spacing w:after="60" w:before="60"/>
      </w:pPr>
      <w:r>
        <w:rPr>
          <w:rFonts w:ascii="Arial" w:cs="Arial" w:eastAsia="Arial" w:hAnsi="Arial"/>
          <w:b w:val="false"/>
          <w:bCs w:val="false"/>
          <w:i w:val="false"/>
          <w:iCs w:val="false"/>
          <w:color w:val="000000"/>
          <w:sz w:val="20"/>
          <w:szCs w:val="20"/>
        </w:rPr>
        <w:t xml:space="preserve"/>
      </w:r>
    </w:p>
    <w:p>
      <w:pPr>
        <w:spacing w:after="80" w:before="40"/>
        <w:jc w:val="both"/>
      </w:pPr>
      <w:r>
        <w:rPr>
          <w:rFonts w:ascii="Arial" w:cs="Arial" w:eastAsia="Arial" w:hAnsi="Arial"/>
          <w:sz w:val="20"/>
          <w:szCs w:val="20"/>
        </w:rPr>
        <w:t xml:space="preserve">Perlu dicatat bahwa biaya di atas adalah per-trip satu isotank. Frekuensi dan volume pengiriman aktual akan sangat menentukan total biaya operasional. Pemanfaatan tol Sigli–Banda Aceh secara signifikan meningkatkan efisiensi waktu tempuh untuk rute Sigli, meskipun biaya BBM tetap lebih tinggi karena jarak yang lebih jauh.</w:t>
      </w:r>
    </w:p>
    <w:sectPr>
      <w:headerReference w:type="default" r:id="rId7"/>
      <w:footerReference w:type="default" r:id="rId8"/>
      <w:pgSz w:w="11906" w:h="16838" w:orient="portrait"/>
      <w:pgMar w:top="1440" w:right="1134" w:bottom="144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after="0" w:before="60"/>
    </w:pPr>
    <w:r>
      <w:rPr>
        <w:rFonts w:ascii="Arial" w:cs="Arial" w:eastAsia="Arial" w:hAnsi="Arial"/>
        <w:color w:val="888888"/>
        <w:sz w:val="16"/>
        <w:szCs w:val="16"/>
      </w:rPr>
      <w:t xml:space="preserve">Halaman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dari </w:t>
    </w:r>
    <w:r>
      <w:rPr>
        <w:rFonts w:ascii="Arial" w:cs="Arial" w:eastAsia="Arial" w:hAnsi="Arial"/>
        <w:color w:val="888888"/>
        <w:sz w:val="16"/>
        <w:szCs w:val="16"/>
      </w:rPr>
      <w:fldChar w:fldCharType="begin"/>
      <w:instrText xml:space="preserve">NUMPAGES</w:instrText>
      <w:fldChar w:fldCharType="separate"/>
      <w:fldChar w:fldCharType="end"/>
    </w:r>
    <w:r>
      <w:rPr>
        <w:rFonts w:ascii="Arial" w:cs="Arial" w:eastAsia="Arial" w:hAnsi="Arial"/>
        <w:i/>
        <w:iCs/>
        <w:color w:val="888888"/>
        <w:sz w:val="16"/>
        <w:szCs w:val="16"/>
      </w:rPr>
      <w:t xml:space="preserve">  |  Dokumen ini bersifat internal dan tidak untuk disebarluaskan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60" w:before="0"/>
    </w:pPr>
    <w:r>
      <w:rPr>
        <w:rFonts w:ascii="Arial" w:cs="Arial" w:eastAsia="Arial" w:hAnsi="Arial"/>
        <w:i/>
        <w:iCs/>
        <w:color w:val="888888"/>
        <w:sz w:val="16"/>
        <w:szCs w:val="16"/>
      </w:rPr>
      <w:t xml:space="preserve">Kajian Lokasi Sub-WO Bottling LNG – Aceh  |  PT Perta Arun Gas  |  2024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160"/>
      <w:outlineLvl w:val="2"/>
    </w:pPr>
    <w:rPr>
      <w:rFonts w:ascii="Arial" w:cs="Arial" w:eastAsia="Arial" w:hAnsi="Arial"/>
      <w:b/>
      <w:bCs/>
      <w:color w:val="2E40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2026-04-20T07:23:23.918Z</dcterms:created>
  <dcterms:modified xsi:type="dcterms:W3CDTF">2026-04-20T07:23:23.919Z</dcterms:modified>
</cp:coreProperties>
</file>

<file path=docProps/custom.xml><?xml version="1.0" encoding="utf-8"?>
<Properties xmlns="http://schemas.openxmlformats.org/officeDocument/2006/custom-properties" xmlns:vt="http://schemas.openxmlformats.org/officeDocument/2006/docPropsVTypes"/>
</file>