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14 October 2026</w:t>
      </w:r>
    </w:p>
    <w:p/>
    <w:p>
      <w:r>
        <w:t>To the Editor-in-Chief, Journal of Information and Organizational Sciences</w:t>
      </w:r>
    </w:p>
    <w:p/>
    <w:p>
      <w:r>
        <w:t>Dear Editor,</w:t>
      </w:r>
    </w:p>
    <w:p/>
    <w:p>
      <w:r>
        <w:t>I am submitting the manuscript "How Much Do Click-Based Activity Features Add Beyond Course Context? A Within/Between Decomposition and Early-Prediction Audit on OULAD" as an Original Scientific Paper for consideration in JIOS.</w:t>
      </w:r>
    </w:p>
    <w:p>
      <w:r>
        <w:t>The paper addresses a question that matters to organisations building early-warning systems from learning-platform logs: how much do click-based behavioural features add once the course context is accounted for? Using the public Open University Learning Analytics Dataset (32,593 enrolments, 22 presentations), I show that the apparent 2.6-point accuracy gain from click shares in full-course models is largely explained by course identity, that a small within-course signal remains in early prediction (days 28 and 56), that it is heterogeneous across modules, and that false-negative gaps for women persist across feature sets. The final section translates these findings into practice for institutions that develop or buy such systems, which I believe fits the journal's information-systems and organisational focus.</w:t>
      </w:r>
    </w:p>
    <w:p>
      <w:r>
        <w:t>The study is exploratory and post hoc, single-dataset, and reports its own analysis history transparently (610 unique tests, of which 438 had a written plan before the output; see Appendix A).</w:t>
      </w:r>
    </w:p>
    <w:p>
      <w:r>
        <w:t>Declarations. The manuscript is original, is not under consideration elsewhere, and has not been published. An earlier, different manuscript on the same public dataset was not accepted for publication elsewhere; the present paper has a different research question and analysis. The author has no conflicts of interest and received no specific funding. The work uses only public anonymised data. Generative AI (Claude, Anthropic) was used for analysis code, file organisation, literature-record checking, and drafting and editing of text; the author reviewed the outputs, verified the reported numbers against the result files, and takes full responsibility. This is stated in the declaration on the title page. The manuscript is anonymised for double-blind review and the title page is submitted separately.</w:t>
      </w:r>
    </w:p>
    <w:p>
      <w:r>
        <w:t>Thank you for considering this submission.</w:t>
      </w:r>
    </w:p>
    <w:p/>
    <w:p>
      <w:r>
        <w:t>Sincerely,</w:t>
      </w:r>
    </w:p>
    <w:p>
      <w:r>
        <w:t>Aqeel M. Ali Hussein</w:t>
      </w:r>
    </w:p>
    <w:p>
      <w:r>
        <w:t>Adptivio EdTech Research Lab, Al-Hussein University College, Iraq</w:t>
      </w:r>
    </w:p>
    <w:p>
      <w:r>
        <w:t>dr.aqeel.hussein@gmail.com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