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48"/>
          <w:szCs w:val="48"/>
        </w:rPr>
        <w:t xml:space="preserve">DOKUMEN GROUND TRUTH</w:t>
      </w:r>
    </w:p>
    <w:p>
      <w:pPr>
        <w:spacing w:after="80" w:before="0"/>
      </w:pPr>
      <w:r>
        <w:rPr>
          <w:rFonts w:ascii="Arial" w:cs="Arial" w:eastAsia="Arial" w:hAnsi="Arial"/>
          <w:color w:val="4B5563"/>
          <w:sz w:val="28"/>
          <w:szCs w:val="28"/>
        </w:rPr>
        <w:t xml:space="preserve">Pengujian RAG — Permenpan RB No. 59 Tahun 2020</w:t>
      </w:r>
    </w:p>
    <w:p>
      <w:pPr>
        <w:pBdr>
          <w:bottom w:val="single" w:color="1E3A5F" w:sz="10" w:space="4"/>
        </w:pBdr>
        <w:spacing w:after="240" w:before="0"/>
      </w:pPr>
      <w:r>
        <w:rPr>
          <w:rFonts w:ascii="Arial" w:cs="Arial" w:eastAsia="Arial" w:hAnsi="Arial"/>
          <w:i/>
          <w:iCs/>
          <w:color w:val="6B7280"/>
          <w:sz w:val="24"/>
          <w:szCs w:val="24"/>
        </w:rPr>
        <w:t xml:space="preserve">Tentang Pemantauan dan Evaluasi SPBE</w:t>
      </w:r>
    </w:p>
    <w:p>
      <w:pPr>
        <w:pBdr>
          <w:bottom w:val="single" w:color="1E3A5F" w:sz="6" w:space="4"/>
        </w:pBdr>
        <w:spacing w:after="120" w:before="280"/>
      </w:pPr>
      <w:r>
        <w:rPr>
          <w:rFonts w:ascii="Arial" w:cs="Arial" w:eastAsia="Arial" w:hAnsi="Arial"/>
          <w:b/>
          <w:bCs/>
          <w:color w:val="1E3A5F"/>
          <w:sz w:val="28"/>
          <w:szCs w:val="28"/>
        </w:rPr>
        <w:t xml:space="preserve">METADATA DOKUMEN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Dokumen Sumber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1F2937"/>
                <w:sz w:val="20"/>
                <w:szCs w:val="20"/>
              </w:rPr>
              <w:t xml:space="preserve">Permenpan RB No. 59 Tahun 2020 tentang Pemantauan dan Evaluasi SPBE</w:t>
            </w:r>
          </w:p>
        </w:tc>
      </w:tr>
      <w:tr>
        <w:tc>
          <w:tcPr>
            <w:tcW w:type="dxa" w:w="24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Versi Ground Truth</w:t>
            </w:r>
          </w:p>
        </w:tc>
        <w:tc>
          <w:tcPr>
            <w:tcW w:type="dxa" w:w="69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20"/>
            </w:tcMar>
          </w:tcPr>
          <w:p>
            <w:r>
              <w:rPr>
                <w:rFonts w:ascii="Arial" w:cs="Arial" w:eastAsia="Arial" w:hAnsi="Arial"/>
                <w:b w:val="false"/>
                <w:bCs w:val="false"/>
                <w:color w:val="1F2937"/>
                <w:sz w:val="20"/>
                <w:szCs w:val="20"/>
              </w:rPr>
              <w:t xml:space="preserve">v1.0.0</w:t>
            </w:r>
          </w:p>
        </w:tc>
      </w:tr>
      <w:tr>
        <w:tc>
          <w:tcPr>
            <w:tcW w:type="dxa" w:w="24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Tanggal Pembuatan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1F2937"/>
                <w:sz w:val="20"/>
                <w:szCs w:val="20"/>
              </w:rPr>
              <w:t xml:space="preserve">22 April 2026</w:t>
            </w:r>
          </w:p>
        </w:tc>
      </w:tr>
      <w:tr>
        <w:tc>
          <w:tcPr>
            <w:tcW w:type="dxa" w:w="24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Total Data Point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20"/>
            </w:tcMar>
          </w:tcPr>
          <w:p>
            <w:r>
              <w:rPr>
                <w:rFonts w:ascii="Arial" w:cs="Arial" w:eastAsia="Arial" w:hAnsi="Arial"/>
                <w:b w:val="false"/>
                <w:bCs w:val="false"/>
                <w:color w:val="1F2937"/>
                <w:sz w:val="20"/>
                <w:szCs w:val="20"/>
              </w:rPr>
              <w:t xml:space="preserve">8 (Delapan) Pasang Q&amp;A</w:t>
            </w:r>
          </w:p>
        </w:tc>
      </w:tr>
      <w:tr>
        <w:tc>
          <w:tcPr>
            <w:tcW w:type="dxa" w:w="24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Model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1F2937"/>
                <w:sz w:val="20"/>
                <w:szCs w:val="20"/>
              </w:rPr>
              <w:t xml:space="preserve">Antigravity RAG System</w:t>
            </w:r>
          </w:p>
        </w:tc>
      </w:tr>
      <w:tr>
        <w:tc>
          <w:tcPr>
            <w:tcW w:type="dxa" w:w="24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Status</w:t>
            </w:r>
          </w:p>
        </w:tc>
        <w:tc>
          <w:tcPr>
            <w:tcW w:type="dxa" w:w="69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20"/>
            </w:tcMar>
          </w:tcPr>
          <w:p>
            <w:r>
              <w:rPr>
                <w:rFonts w:ascii="Arial" w:cs="Arial" w:eastAsia="Arial" w:hAnsi="Arial"/>
                <w:b/>
                <w:bCs/>
                <w:color w:val="166534"/>
                <w:sz w:val="20"/>
                <w:szCs w:val="20"/>
              </w:rPr>
              <w:t xml:space="preserve">AKTIF - Siap Digunakan untuk Evaluasi Otomatis</w:t>
            </w:r>
          </w:p>
        </w:tc>
      </w:tr>
    </w:tbl>
    <w:p>
      <w:pPr>
        <w:spacing w:after="0" w:before="200"/>
      </w:pPr>
      <w:r>
        <w:t xml:space="preserve"/>
      </w:r>
    </w:p>
    <w:p>
      <w:pPr>
        <w:pBdr>
          <w:bottom w:val="single" w:color="7C3AED" w:sz="6" w:space="4"/>
        </w:pBdr>
        <w:spacing w:after="120" w:before="280"/>
      </w:pPr>
      <w:r>
        <w:rPr>
          <w:rFonts w:ascii="Arial" w:cs="Arial" w:eastAsia="Arial" w:hAnsi="Arial"/>
          <w:b/>
          <w:bCs/>
          <w:color w:val="7C3AED"/>
          <w:sz w:val="28"/>
          <w:szCs w:val="28"/>
        </w:rPr>
        <w:t xml:space="preserve">PETUNJUK PENGGUNAAN OTOMATIS</w:t>
      </w:r>
    </w:p>
    <w:p>
      <w:pPr>
        <w:spacing w:after="0" w:before="80"/>
      </w:pPr>
      <w:r>
        <w:t xml:space="preserve"/>
      </w:r>
    </w:p>
    <w:p>
      <w:pPr>
        <w:spacing w:after="60" w:before="60"/>
      </w:pPr>
      <w:r>
        <w:rPr>
          <w:rFonts w:ascii="Arial" w:cs="Arial" w:eastAsia="Arial" w:hAnsi="Arial"/>
          <w:color w:val="374151"/>
          <w:sz w:val="21"/>
          <w:szCs w:val="21"/>
        </w:rPr>
        <w:t xml:space="preserve">1. Dokumen ini digunakan sebagai sumber kebenaran (ground truth) untuk sistem evaluasi RAG secara otomatis.</w:t>
      </w:r>
    </w:p>
    <w:p>
      <w:pPr>
        <w:spacing w:after="60" w:before="60"/>
      </w:pPr>
      <w:r>
        <w:rPr>
          <w:rFonts w:ascii="Arial" w:cs="Arial" w:eastAsia="Arial" w:hAnsi="Arial"/>
          <w:color w:val="374151"/>
          <w:sz w:val="21"/>
          <w:szCs w:val="21"/>
        </w:rPr>
        <w:t xml:space="preserve">2. Setiap data point terdiri dari: ID unik, Pertanyaan, Jawaban Ground Truth, Bukti/Referensi, dan Kata Kunci.</w:t>
      </w:r>
    </w:p>
    <w:p>
      <w:pPr>
        <w:spacing w:after="60" w:before="60"/>
      </w:pPr>
      <w:r>
        <w:rPr>
          <w:rFonts w:ascii="Arial" w:cs="Arial" w:eastAsia="Arial" w:hAnsi="Arial"/>
          <w:color w:val="374151"/>
          <w:sz w:val="21"/>
          <w:szCs w:val="21"/>
        </w:rPr>
        <w:t xml:space="preserve">3. Model Antigravity membandingkan jawaban yang dihasilkan RAG dengan kolom JAWABAN (GROUND TRUTH).</w:t>
      </w:r>
    </w:p>
    <w:p>
      <w:pPr>
        <w:spacing w:after="60" w:before="60"/>
      </w:pPr>
      <w:r>
        <w:rPr>
          <w:rFonts w:ascii="Arial" w:cs="Arial" w:eastAsia="Arial" w:hAnsi="Arial"/>
          <w:color w:val="374151"/>
          <w:sz w:val="21"/>
          <w:szCs w:val="21"/>
        </w:rPr>
        <w:t xml:space="preserve">4. Evaluasi dilakukan berbasis semantic similarity dan keyword matching terhadap kata kunci yang tersedia.</w:t>
      </w:r>
    </w:p>
    <w:p>
      <w:pPr>
        <w:spacing w:after="60" w:before="60"/>
      </w:pPr>
      <w:r>
        <w:rPr>
          <w:rFonts w:ascii="Arial" w:cs="Arial" w:eastAsia="Arial" w:hAnsi="Arial"/>
          <w:color w:val="374151"/>
          <w:sz w:val="21"/>
          <w:szCs w:val="21"/>
        </w:rPr>
        <w:t xml:space="preserve">5. Jawaban dianggap benar jika nilai similarity &gt;= 0.75 atau seluruh kata kunci utama terpenuhi.</w:t>
      </w:r>
    </w:p>
    <w:p>
      <w:pPr>
        <w:spacing w:after="60" w:before="60"/>
      </w:pPr>
      <w:r>
        <w:rPr>
          <w:rFonts w:ascii="Arial" w:cs="Arial" w:eastAsia="Arial" w:hAnsi="Arial"/>
          <w:color w:val="374151"/>
          <w:sz w:val="21"/>
          <w:szCs w:val="21"/>
        </w:rPr>
        <w:t xml:space="preserve">6. Kolom BUKTI / REFERENSI digunakan untuk verifikasi silang terhadap dokumen sumber asli.</w:t>
      </w:r>
    </w:p>
    <w:p>
      <w:pPr>
        <w:spacing w:after="0" w:before="240"/>
      </w:pPr>
      <w:r>
        <w:t xml:space="preserve"/>
      </w:r>
    </w:p>
    <w:p>
      <w:pPr>
        <w:pBdr>
          <w:bottom w:val="single" w:color="1E3A5F" w:sz="6" w:space="4"/>
        </w:pBdr>
        <w:spacing w:after="120" w:before="280"/>
      </w:pPr>
      <w:r>
        <w:rPr>
          <w:rFonts w:ascii="Arial" w:cs="Arial" w:eastAsia="Arial" w:hAnsi="Arial"/>
          <w:b/>
          <w:bCs/>
          <w:color w:val="1E3A5F"/>
          <w:sz w:val="28"/>
          <w:szCs w:val="28"/>
        </w:rPr>
        <w:t xml:space="preserve">DAFTAR RINGKASAN DATA 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60"/>
        <w:gridCol w:w="2400"/>
        <w:gridCol w:w="13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ID</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Pertanyaan (Ringkasan)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Bukti</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Halaman</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b/>
                <w:bCs/>
                <w:color w:val="1E3A5F"/>
                <w:sz w:val="18"/>
                <w:szCs w:val="18"/>
              </w:rPr>
              <w:t xml:space="preserve">GT-001</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1F2937"/>
                <w:sz w:val="18"/>
                <w:szCs w:val="18"/>
              </w:rPr>
              <w:t xml:space="preserve">Apa definisi dari Sistem Pemerintahan Berbasis Elektronik (SPBE) me...</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i/>
                <w:iCs/>
                <w:color w:val="1D4ED8"/>
                <w:sz w:val="18"/>
                <w:szCs w:val="18"/>
              </w:rPr>
              <w:t xml:space="preserve">Pasal 1 angka 1</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374151"/>
                <w:sz w:val="18"/>
                <w:szCs w:val="18"/>
              </w:rPr>
              <w:t xml:space="preserve">Halaman 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E3A5F"/>
                <w:sz w:val="18"/>
                <w:szCs w:val="18"/>
              </w:rPr>
              <w:t xml:space="preserve">GT-002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F2937"/>
                <w:sz w:val="18"/>
                <w:szCs w:val="18"/>
              </w:rPr>
              <w:t xml:space="preserve">Sebutkan 3 (tiga) tujuan dari dilaksanakannya Pemantauan dan Evalua...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i/>
                <w:iCs/>
                <w:color w:val="1D4ED8"/>
                <w:sz w:val="18"/>
                <w:szCs w:val="18"/>
              </w:rPr>
              <w:t xml:space="preserve">Pasal 2 ayat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74151"/>
                <w:sz w:val="18"/>
                <w:szCs w:val="18"/>
              </w:rPr>
              <w:t xml:space="preserve">Halaman 4-5</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b/>
                <w:bCs/>
                <w:color w:val="1E3A5F"/>
                <w:sz w:val="18"/>
                <w:szCs w:val="18"/>
              </w:rPr>
              <w:t xml:space="preserve">GT-003</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1F2937"/>
                <w:sz w:val="18"/>
                <w:szCs w:val="18"/>
              </w:rPr>
              <w:t xml:space="preserve">Apa perbedaan utama aktivitas pada tahap pelaksanaan antara Pemanta...</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i/>
                <w:iCs/>
                <w:color w:val="1D4ED8"/>
                <w:sz w:val="18"/>
                <w:szCs w:val="18"/>
              </w:rPr>
              <w:t xml:space="preserve">Pasal 3 ayat (1), (2), dan (3)</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374151"/>
                <w:sz w:val="18"/>
                <w:szCs w:val="18"/>
              </w:rPr>
              <w:t xml:space="preserve">Halaman 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E3A5F"/>
                <w:sz w:val="18"/>
                <w:szCs w:val="18"/>
              </w:rPr>
              <w:t xml:space="preserve">GT-004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F2937"/>
                <w:sz w:val="18"/>
                <w:szCs w:val="18"/>
              </w:rPr>
              <w:t xml:space="preserve">Sebutkan 5 (lima) tingkatan dalam pengukuran tingkat kematangan kap...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i/>
                <w:iCs/>
                <w:color w:val="1D4ED8"/>
                <w:sz w:val="18"/>
                <w:szCs w:val="18"/>
              </w:rPr>
              <w:t xml:space="preserve">Bab II Bagian A (Model Tingkat Kematangan), poin 3 (Tingkat Kematangan Kapabilitas Layanan) dan Tabel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74151"/>
                <w:sz w:val="18"/>
                <w:szCs w:val="18"/>
              </w:rPr>
              <w:t xml:space="preserve">Halaman 13</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b/>
                <w:bCs/>
                <w:color w:val="1E3A5F"/>
                <w:sz w:val="18"/>
                <w:szCs w:val="18"/>
              </w:rPr>
              <w:t xml:space="preserve">GT-005</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1F2937"/>
                <w:sz w:val="18"/>
                <w:szCs w:val="18"/>
              </w:rPr>
              <w:t xml:space="preserve">Berapakah nilai persentase bobot yang diberikan untuk Aspek 8, yait...</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i/>
                <w:iCs/>
                <w:color w:val="1D4ED8"/>
                <w:sz w:val="18"/>
                <w:szCs w:val="18"/>
              </w:rPr>
              <w:t xml:space="preserve">Bab II, Tabel 8 Bobot Aspek</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374151"/>
                <w:sz w:val="18"/>
                <w:szCs w:val="18"/>
              </w:rPr>
              <w:t xml:space="preserve">Halaman 18</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E3A5F"/>
                <w:sz w:val="18"/>
                <w:szCs w:val="18"/>
              </w:rPr>
              <w:t xml:space="preserve">GT-006</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F2937"/>
                <w:sz w:val="18"/>
                <w:szCs w:val="18"/>
              </w:rPr>
              <w:t xml:space="preserve">Jika sebuah Instansi Pusat mendapatkan total perhitungan nilai Inde...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i/>
                <w:iCs/>
                <w:color w:val="1D4ED8"/>
                <w:sz w:val="18"/>
                <w:szCs w:val="18"/>
              </w:rPr>
              <w:t xml:space="preserve">Bab II, Tabel 13 Predikat Penilaian SPBE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74151"/>
                <w:sz w:val="18"/>
                <w:szCs w:val="18"/>
              </w:rPr>
              <w:t xml:space="preserve">Halaman 24</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b/>
                <w:bCs/>
                <w:color w:val="1E3A5F"/>
                <w:sz w:val="18"/>
                <w:szCs w:val="18"/>
              </w:rPr>
              <w:t xml:space="preserve">GT-007</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1F2937"/>
                <w:sz w:val="18"/>
                <w:szCs w:val="18"/>
              </w:rPr>
              <w:t xml:space="preserve">Siapa saja pihak-pihak yang dapat menjadi unsur anggota Tim Asesor ...</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i/>
                <w:iCs/>
                <w:color w:val="1D4ED8"/>
                <w:sz w:val="18"/>
                <w:szCs w:val="18"/>
              </w:rPr>
              <w:t xml:space="preserve">Bab III Bagian B, poin 1.b (Pembentukan Tim Asesor Eksternal)</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80"/>
            </w:tcMar>
          </w:tcPr>
          <w:p>
            <w:r>
              <w:rPr>
                <w:rFonts w:ascii="Arial" w:cs="Arial" w:eastAsia="Arial" w:hAnsi="Arial"/>
                <w:color w:val="374151"/>
                <w:sz w:val="18"/>
                <w:szCs w:val="18"/>
              </w:rPr>
              <w:t xml:space="preserve">Halaman 81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E3A5F"/>
                <w:sz w:val="18"/>
                <w:szCs w:val="18"/>
              </w:rPr>
              <w:t xml:space="preserve">GT-008</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F2937"/>
                <w:sz w:val="18"/>
                <w:szCs w:val="18"/>
              </w:rPr>
              <w:t xml:space="preserve">Berdasarkan Kuesioner Pemantauan dan Evaluasi SPBE, apa kriteria ya...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i/>
                <w:iCs/>
                <w:color w:val="1D4ED8"/>
                <w:sz w:val="18"/>
                <w:szCs w:val="18"/>
              </w:rPr>
              <w:t xml:space="preserve">Bab II, Indikator 42 (Tingkat Kematangan Layanan Pengaduan Pelayanan Publik), Kriteria Tingkat 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74151"/>
                <w:sz w:val="18"/>
                <w:szCs w:val="18"/>
              </w:rPr>
              <w:t xml:space="preserve">Halaman 72</w:t>
            </w:r>
          </w:p>
        </w:tc>
      </w:tr>
    </w:tbl>
    <w:p>
      <w:pPr>
        <w:spacing w:after="0" w:before="280"/>
      </w:pPr>
      <w:r>
        <w:t xml:space="preserve"/>
      </w:r>
    </w:p>
    <w:p>
      <w:pPr>
        <w:pBdr>
          <w:bottom w:val="single" w:color="1E3A5F" w:sz="6" w:space="4"/>
        </w:pBdr>
        <w:spacing w:after="120" w:before="280"/>
      </w:pPr>
      <w:r>
        <w:rPr>
          <w:rFonts w:ascii="Arial" w:cs="Arial" w:eastAsia="Arial" w:hAnsi="Arial"/>
          <w:b/>
          <w:bCs/>
          <w:color w:val="1E3A5F"/>
          <w:sz w:val="28"/>
          <w:szCs w:val="28"/>
        </w:rPr>
        <w:t xml:space="preserve">DETAIL DATA POINT GROUND TRUTH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GT-001</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Apa definisi dari Sistem Pemerintahan Berbasis Elektronik (SPBE) menurut Peraturan Menteri ini?</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SPBE adalah penyelenggaraan pemerintahan dengan memanfaatkan teknologi informasi dan komunikasi untuk memberikan layanan kepada Instansi Pusat, Pemerintah Daerah, pegawai Aparatur Sipil Negara, perorangan, masyarakat, pelaku usaha, dan pihak lain yang memanfaatkan layanan SPBE.</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Pasal 1 angka 1</w:t>
            </w:r>
            <w:r>
              <w:rPr>
                <w:rFonts w:ascii="Arial" w:cs="Arial" w:eastAsia="Arial" w:hAnsi="Arial"/>
                <w:color w:val="6B7280"/>
                <w:sz w:val="20"/>
                <w:szCs w:val="20"/>
              </w:rPr>
              <w:t xml:space="preserve">  |  Halaman 2</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20"/>
            </w:tcMar>
          </w:tcPr>
          <w:p>
            <w:r>
              <w:rPr>
                <w:rFonts w:ascii="Arial" w:cs="Arial" w:eastAsia="Arial" w:hAnsi="Arial"/>
                <w:i/>
                <w:iCs/>
                <w:color w:val="6B7280"/>
                <w:sz w:val="20"/>
                <w:szCs w:val="20"/>
              </w:rPr>
              <w:t xml:space="preserve">SPBE | definisi | teknologi informasi | komunikasi | layanan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GT-002</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Sebutkan 3 (tiga) tujuan dari dilaksanakannya Pemantauan dan Evaluasi SPBE!</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a. Mengukur capaian kemajuan penerapan SPBE pada Instansi Pusat dan Pemerintah Daerah.</w:t>
            </w:r>
          </w:p>
          <w:p>
            <w:pPr>
              <w:spacing w:after="40" w:before="40"/>
            </w:pPr>
            <w:r>
              <w:rPr>
                <w:rFonts w:ascii="Arial" w:cs="Arial" w:eastAsia="Arial" w:hAnsi="Arial"/>
                <w:b/>
                <w:bCs/>
                <w:color w:val="166534"/>
                <w:sz w:val="22"/>
                <w:szCs w:val="22"/>
              </w:rPr>
              <w:t xml:space="preserve">b. Meningkatkan kualitas penerapan SPBE pada Instansi Pusat dan Pemerintah Daerah.</w:t>
            </w:r>
          </w:p>
          <w:p>
            <w:pPr>
              <w:spacing w:after="40" w:before="40"/>
            </w:pPr>
            <w:r>
              <w:rPr>
                <w:rFonts w:ascii="Arial" w:cs="Arial" w:eastAsia="Arial" w:hAnsi="Arial"/>
                <w:b/>
                <w:bCs/>
                <w:color w:val="166534"/>
                <w:sz w:val="22"/>
                <w:szCs w:val="22"/>
              </w:rPr>
              <w:t xml:space="preserve">c. Meningkatkan kualitas pelayanan publik pada Instansi Pusat dan Pemerintah Daerah.</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Pasal 2 ayat (2)</w:t>
            </w:r>
            <w:r>
              <w:rPr>
                <w:rFonts w:ascii="Arial" w:cs="Arial" w:eastAsia="Arial" w:hAnsi="Arial"/>
                <w:color w:val="6B7280"/>
                <w:sz w:val="20"/>
                <w:szCs w:val="20"/>
              </w:rPr>
              <w:t xml:space="preserve">  |  Halaman 4-5</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i/>
                <w:iCs/>
                <w:color w:val="6B7280"/>
                <w:sz w:val="20"/>
                <w:szCs w:val="20"/>
              </w:rPr>
              <w:t xml:space="preserve">tujuan | pemantauan | evaluasi | SPBE | capaian | kualitas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GT-003</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Apa perbedaan utama aktivitas pada tahap pelaksanaan antara Pemantauan SPBE dan Evaluasi SPBE?</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Pemantauan SPBE dilakukan dengan aktivitas Penilaian Mandiri dan Penilaian Dokumen. Sedangkan, Evaluasi SPBE dilakukan dengan aktivitas Penilaian Mandiri, Penilaian Dokumen, dan Penilaian Interviu. Dalam hal diperlukan penilaian lebih lanjut, Evaluasi SPBE dapat dilanjutkan dengan aktivitas Penilaian Visitasi.</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Pasal 3 ayat (1), (2), dan (3)</w:t>
            </w:r>
            <w:r>
              <w:rPr>
                <w:rFonts w:ascii="Arial" w:cs="Arial" w:eastAsia="Arial" w:hAnsi="Arial"/>
                <w:color w:val="6B7280"/>
                <w:sz w:val="20"/>
                <w:szCs w:val="20"/>
              </w:rPr>
              <w:t xml:space="preserve">  |  Halaman 5</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20"/>
            </w:tcMar>
          </w:tcPr>
          <w:p>
            <w:r>
              <w:rPr>
                <w:rFonts w:ascii="Arial" w:cs="Arial" w:eastAsia="Arial" w:hAnsi="Arial"/>
                <w:i/>
                <w:iCs/>
                <w:color w:val="6B7280"/>
                <w:sz w:val="20"/>
                <w:szCs w:val="20"/>
              </w:rPr>
              <w:t xml:space="preserve">pemantauan | evaluasi | penilaian mandiri | penilaian dokumen | penilaian interviu | penilaian visitasi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GT-004</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Sebutkan 5 (lima) tingkatan dalam pengukuran tingkat kematangan kapabilitas layanan beserta urutannya!</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Tingkat kematangan kapabilitas layanan diukur dengan 5 (lima) tingkatan yaitu informasi (Tingkat 1), interaksi (Tingkat 2), transaksi (Tingkat 3), kolaborasi (Tingkat 4), dan optimum (Tingkat 5).</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Bab II Bagian A (Model Tingkat Kematangan), poin 3 (Tingkat Kematangan Kapabilitas Layanan) dan Tabel 2</w:t>
            </w:r>
            <w:r>
              <w:rPr>
                <w:rFonts w:ascii="Arial" w:cs="Arial" w:eastAsia="Arial" w:hAnsi="Arial"/>
                <w:color w:val="6B7280"/>
                <w:sz w:val="20"/>
                <w:szCs w:val="20"/>
              </w:rPr>
              <w:t xml:space="preserve">  |  Halaman 13</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i/>
                <w:iCs/>
                <w:color w:val="6B7280"/>
                <w:sz w:val="20"/>
                <w:szCs w:val="20"/>
              </w:rPr>
              <w:t xml:space="preserve">tingkat kematangan | kapabilitas layanan | informasi | interaksi | transaksi | kolaborasi | optimum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GT-005</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Berapakah nilai persentase bobot yang diberikan untuk Aspek 8, yaitu Layanan Publik Berbasis Elektronik?</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18,00 %</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Bab II, Tabel 8 Bobot Aspek</w:t>
            </w:r>
            <w:r>
              <w:rPr>
                <w:rFonts w:ascii="Arial" w:cs="Arial" w:eastAsia="Arial" w:hAnsi="Arial"/>
                <w:color w:val="6B7280"/>
                <w:sz w:val="20"/>
                <w:szCs w:val="20"/>
              </w:rPr>
              <w:t xml:space="preserve">  |  Halaman 18</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20"/>
            </w:tcMar>
          </w:tcPr>
          <w:p>
            <w:r>
              <w:rPr>
                <w:rFonts w:ascii="Arial" w:cs="Arial" w:eastAsia="Arial" w:hAnsi="Arial"/>
                <w:i/>
                <w:iCs/>
                <w:color w:val="6B7280"/>
                <w:sz w:val="20"/>
                <w:szCs w:val="20"/>
              </w:rPr>
              <w:t xml:space="preserve">bobot | aspek 8 | layanan publik berbasis elektronik | persentase | 18</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GT-006</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Jika sebuah Instansi Pusat mendapatkan total perhitungan nilai Indeks SPBE sebesar 3,28, predikat apa yang didapatkan oleh instansi tersebut?</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Baik. (Rentang nilai Baik adalah 2,6 - &lt; 3,5)</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Bab II, Tabel 13 Predikat Penilaian SPBE</w:t>
            </w:r>
            <w:r>
              <w:rPr>
                <w:rFonts w:ascii="Arial" w:cs="Arial" w:eastAsia="Arial" w:hAnsi="Arial"/>
                <w:color w:val="6B7280"/>
                <w:sz w:val="20"/>
                <w:szCs w:val="20"/>
              </w:rPr>
              <w:t xml:space="preserve">  |  Halaman 24</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i/>
                <w:iCs/>
                <w:color w:val="6B7280"/>
                <w:sz w:val="20"/>
                <w:szCs w:val="20"/>
              </w:rPr>
              <w:t xml:space="preserve">predikat | indeks SPBE | baik | 3,28 | rentang nilai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GT-007</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Siapa saja pihak-pihak yang dapat menjadi unsur anggota Tim Asesor Eksternal yang ditetapkan oleh Menteri?</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Anggota Tim Asesor Eksternal dapat terdiri atas:</w:t>
            </w:r>
          </w:p>
          <w:p>
            <w:pPr>
              <w:spacing w:after="40" w:before="40"/>
            </w:pPr>
            <w:r>
              <w:rPr>
                <w:rFonts w:ascii="Arial" w:cs="Arial" w:eastAsia="Arial" w:hAnsi="Arial"/>
                <w:b/>
                <w:bCs/>
                <w:color w:val="166534"/>
                <w:sz w:val="22"/>
                <w:szCs w:val="22"/>
              </w:rPr>
              <w:t xml:space="preserve">1. Unsur ASN yaitu pejabat/pegawai yang berasal dari Kementerian, Instansi Pusat, dan/atau Pemerintah Daerah.</w:t>
            </w:r>
          </w:p>
          <w:p>
            <w:pPr>
              <w:spacing w:after="40" w:before="40"/>
            </w:pPr>
            <w:r>
              <w:rPr>
                <w:rFonts w:ascii="Arial" w:cs="Arial" w:eastAsia="Arial" w:hAnsi="Arial"/>
                <w:b/>
                <w:bCs/>
                <w:color w:val="166534"/>
                <w:sz w:val="22"/>
                <w:szCs w:val="22"/>
              </w:rPr>
              <w:t xml:space="preserve">2. Unsur akademisi yang berasal dari perguruan tinggi.</w:t>
            </w:r>
          </w:p>
          <w:p>
            <w:pPr>
              <w:spacing w:after="40" w:before="40"/>
            </w:pPr>
            <w:r>
              <w:rPr>
                <w:rFonts w:ascii="Arial" w:cs="Arial" w:eastAsia="Arial" w:hAnsi="Arial"/>
                <w:b/>
                <w:bCs/>
                <w:color w:val="166534"/>
                <w:sz w:val="22"/>
                <w:szCs w:val="22"/>
              </w:rPr>
              <w:t xml:space="preserve">3. Unsur tenaga ahli yang berasal dari institusi lain.</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Bab III Bagian B, poin 1.b (Pembentukan Tim Asesor Eksternal)</w:t>
            </w:r>
            <w:r>
              <w:rPr>
                <w:rFonts w:ascii="Arial" w:cs="Arial" w:eastAsia="Arial" w:hAnsi="Arial"/>
                <w:color w:val="6B7280"/>
                <w:sz w:val="20"/>
                <w:szCs w:val="20"/>
              </w:rPr>
              <w:t xml:space="preserve">  |  Halaman 81</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20"/>
            </w:tcMar>
          </w:tcPr>
          <w:p>
            <w:r>
              <w:rPr>
                <w:rFonts w:ascii="Arial" w:cs="Arial" w:eastAsia="Arial" w:hAnsi="Arial"/>
                <w:i/>
                <w:iCs/>
                <w:color w:val="6B7280"/>
                <w:sz w:val="20"/>
                <w:szCs w:val="20"/>
              </w:rPr>
              <w:t xml:space="preserve">tim asesor eksternal | ASN | akademisi | perguruan tinggi | tenaga ahli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00"/>
            </w:tcMar>
          </w:tcPr>
          <w:p>
            <w:r>
              <w:rPr>
                <w:rFonts w:ascii="Arial" w:cs="Arial" w:eastAsia="Arial" w:hAnsi="Arial"/>
                <w:b/>
                <w:bCs/>
                <w:color w:val="FFFFFF"/>
                <w:sz w:val="20"/>
                <w:szCs w:val="20"/>
              </w:rPr>
              <w:t xml:space="preserve">ID</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20"/>
            </w:tcMar>
          </w:tcPr>
          <w:p>
            <w:r>
              <w:rPr>
                <w:rFonts w:ascii="Arial" w:cs="Arial" w:eastAsia="Arial" w:hAnsi="Arial"/>
                <w:b/>
                <w:bCs/>
                <w:color w:val="FFFFFF"/>
                <w:sz w:val="20"/>
                <w:szCs w:val="20"/>
              </w:rPr>
              <w:t xml:space="preserve">GT-008</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PERTANYAAN</w:t>
            </w:r>
          </w:p>
        </w:tc>
        <w:tc>
          <w:tcPr>
            <w:tcW w:type="dxa" w:w="7360"/>
            <w:tcBorders>
              <w:top w:val="single" w:color="CCCCCC" w:sz="1"/>
              <w:left w:val="single" w:color="CCCCCC" w:sz="1"/>
              <w:bottom w:val="single" w:color="CCCCCC" w:sz="1"/>
              <w:right w:val="single" w:color="CCCCCC" w:sz="1"/>
            </w:tcBorders>
            <w:shd w:fill="FFFBEB" w:val="clear"/>
            <w:tcMar>
              <w:top w:type="dxa" w:w="100"/>
              <w:left w:type="dxa" w:w="150"/>
              <w:bottom w:type="dxa" w:w="100"/>
              <w:right w:type="dxa" w:w="120"/>
            </w:tcMar>
          </w:tcPr>
          <w:p>
            <w:r>
              <w:rPr>
                <w:rFonts w:ascii="Arial" w:cs="Arial" w:eastAsia="Arial" w:hAnsi="Arial"/>
                <w:b/>
                <w:bCs/>
                <w:color w:val="92400E"/>
                <w:sz w:val="22"/>
                <w:szCs w:val="22"/>
              </w:rPr>
              <w:t xml:space="preserve">Berdasarkan Kuesioner Pemantauan dan Evaluasi SPBE, apa kriteria yang harus dipenuhi agar Indikator 42 (Layanan Pengaduan Pelayanan Publik) dapat mencapai Tingkat Kematangan 3?</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JAWABAN
(GROUND TRUTH)</w:t>
            </w:r>
          </w:p>
        </w:tc>
        <w:tc>
          <w:tcPr>
            <w:tcW w:type="dxa" w:w="73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20"/>
            </w:tcMar>
          </w:tcPr>
          <w:p>
            <w:pPr>
              <w:spacing w:after="40" w:before="40"/>
            </w:pPr>
            <w:r>
              <w:rPr>
                <w:rFonts w:ascii="Arial" w:cs="Arial" w:eastAsia="Arial" w:hAnsi="Arial"/>
                <w:b/>
                <w:bCs/>
                <w:color w:val="166534"/>
                <w:sz w:val="22"/>
                <w:szCs w:val="22"/>
              </w:rPr>
              <w:t xml:space="preserve">Kriteria tingkat 2 telah terpenuhi dan Layanan Pengaduan Pelayanan Publik Berbasis Elektronik memberikan layanan transaksi kepada pengguna terkait pengaduan pelayanan publik seperti otomasi alur kerja, transaksi basis data, validasi data, mekanisme persetujuan, dan analitik data.</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BUKTI / REFERENSI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50"/>
              <w:bottom w:type="dxa" w:w="80"/>
              <w:right w:type="dxa" w:w="120"/>
            </w:tcMar>
          </w:tcPr>
          <w:p>
            <w:r>
              <w:rPr>
                <w:rFonts w:ascii="Arial" w:cs="Arial" w:eastAsia="Arial" w:hAnsi="Arial"/>
                <w:i/>
                <w:iCs/>
                <w:color w:val="1D4ED8"/>
                <w:sz w:val="20"/>
                <w:szCs w:val="20"/>
              </w:rPr>
              <w:t xml:space="preserve">Bab II, Indikator 42 (Tingkat Kematangan Layanan Pengaduan Pelayanan Publik), Kriteria Tingkat 3</w:t>
            </w:r>
            <w:r>
              <w:rPr>
                <w:rFonts w:ascii="Arial" w:cs="Arial" w:eastAsia="Arial" w:hAnsi="Arial"/>
                <w:color w:val="6B7280"/>
                <w:sz w:val="20"/>
                <w:szCs w:val="20"/>
              </w:rPr>
              <w:t xml:space="preserve">  |  Halaman 72</w:t>
            </w:r>
          </w:p>
        </w:tc>
      </w:tr>
      <w:tr>
        <w:tc>
          <w:tcPr>
            <w:tcW w:type="dxa" w:w="2000"/>
            <w:tcBorders>
              <w:top w:val="single" w:color="CCCCCC" w:sz="1"/>
              <w:left w:val="single" w:color="CCCCCC" w:sz="1"/>
              <w:bottom w:val="single" w:color="CCCCCC" w:sz="1"/>
              <w:right w:val="single" w:color="CCCCCC" w:sz="1"/>
            </w:tcBorders>
            <w:shd w:fill="E8EFF8" w:val="clear"/>
            <w:tcMar>
              <w:top w:type="dxa" w:w="80"/>
              <w:left w:type="dxa" w:w="150"/>
              <w:bottom w:type="dxa" w:w="80"/>
              <w:right w:type="dxa" w:w="100"/>
            </w:tcMar>
          </w:tcPr>
          <w:p>
            <w:r>
              <w:rPr>
                <w:rFonts w:ascii="Arial" w:cs="Arial" w:eastAsia="Arial" w:hAnsi="Arial"/>
                <w:b/>
                <w:bCs/>
                <w:color w:val="1E3A5F"/>
                <w:sz w:val="20"/>
                <w:szCs w:val="20"/>
              </w:rPr>
              <w:t xml:space="preserve">KATA KUNCI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i/>
                <w:iCs/>
                <w:color w:val="6B7280"/>
                <w:sz w:val="20"/>
                <w:szCs w:val="20"/>
              </w:rPr>
              <w:t xml:space="preserve">indikator 42 | layanan pengaduan | tingkat kematangan 3 | transaksi | otomasi alur kerja</w:t>
            </w:r>
          </w:p>
        </w:tc>
      </w:tr>
    </w:tbl>
    <w:p>
      <w:pPr>
        <w:spacing w:after="0" w:before="280"/>
      </w:pPr>
      <w:r>
        <w:t xml:space="preserve"/>
      </w:r>
    </w:p>
    <w:p>
      <w:pPr>
        <w:pBdr>
          <w:top w:val="single" w:color="D1D5DB" w:sz="4" w:space="8"/>
        </w:pBdr>
        <w:spacing w:after="80" w:before="120"/>
        <w:jc w:val="center"/>
      </w:pPr>
      <w:r>
        <w:rPr>
          <w:rFonts w:ascii="Arial" w:cs="Arial" w:eastAsia="Arial" w:hAnsi="Arial"/>
          <w:color w:val="9CA3AF"/>
          <w:sz w:val="18"/>
          <w:szCs w:val="18"/>
        </w:rPr>
        <w:t xml:space="preserve">Dokumen ini dibuat secara otomatis untuk keperluan evaluasi sistem RAG. </w:t>
      </w:r>
      <w:r>
        <w:rPr>
          <w:rFonts w:ascii="Arial" w:cs="Arial" w:eastAsia="Arial" w:hAnsi="Arial"/>
          <w:b/>
          <w:bCs/>
          <w:color w:val="7C3AED"/>
          <w:sz w:val="18"/>
          <w:szCs w:val="18"/>
        </w:rPr>
        <w:t xml:space="preserve">Digunakan oleh Model Antigravity — Akses Chrome Enabled.</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Ground Truth RAG — Permenpan RB No. 59/2020  |  Halaman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dari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2026-04-22T05:17:19.270Z</dcterms:created>
  <dcterms:modified xsi:type="dcterms:W3CDTF">2026-04-22T05:17:19.270Z</dcterms:modified>
</cp:coreProperties>
</file>

<file path=docProps/custom.xml><?xml version="1.0" encoding="utf-8"?>
<Properties xmlns="http://schemas.openxmlformats.org/officeDocument/2006/custom-properties" xmlns:vt="http://schemas.openxmlformats.org/officeDocument/2006/docPropsVTypes"/>
</file>