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B708A4" w14:textId="77777777" w:rsidR="00342072" w:rsidRDefault="00342072">
      <w:pPr>
        <w:tabs>
          <w:tab w:val="left" w:pos="720"/>
        </w:tabs>
        <w:ind w:left="720" w:hanging="360"/>
      </w:pPr>
    </w:p>
    <w:p w14:paraId="36D31CC6" w14:textId="77777777" w:rsidR="00342072" w:rsidRDefault="00000000">
      <w:pPr>
        <w:ind w:left="720"/>
        <w:jc w:val="center"/>
        <w:rPr>
          <w:rFonts w:ascii="Times New Roman" w:hAnsi="Times New Roman" w:cs="Times New Roman"/>
          <w:lang w:val="en-US"/>
        </w:rPr>
      </w:pPr>
      <w:r>
        <w:rPr>
          <w:noProof/>
        </w:rPr>
        <w:drawing>
          <wp:inline distT="0" distB="0" distL="0" distR="0" wp14:anchorId="147AE2F0" wp14:editId="536D90D2">
            <wp:extent cx="2263140" cy="1164590"/>
            <wp:effectExtent l="0" t="0" r="3810" b="0"/>
            <wp:docPr id="4" name="Picture 2" descr="Astana IT University| Kazakh National H-index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stana IT University| Kazakh National H-index Rank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263437" cy="1164761"/>
                    </a:xfrm>
                    <a:prstGeom prst="rect">
                      <a:avLst/>
                    </a:prstGeom>
                    <a:noFill/>
                  </pic:spPr>
                </pic:pic>
              </a:graphicData>
            </a:graphic>
          </wp:inline>
        </w:drawing>
      </w:r>
    </w:p>
    <w:p w14:paraId="5C039D50" w14:textId="77777777" w:rsidR="00342072" w:rsidRDefault="00342072">
      <w:pPr>
        <w:ind w:left="720"/>
        <w:rPr>
          <w:rFonts w:ascii="Times New Roman" w:hAnsi="Times New Roman" w:cs="Times New Roman"/>
          <w:lang w:val="en-US"/>
        </w:rPr>
      </w:pPr>
    </w:p>
    <w:p w14:paraId="11B6E78C" w14:textId="77777777" w:rsidR="00342072" w:rsidRDefault="00342072">
      <w:pPr>
        <w:ind w:left="720"/>
        <w:rPr>
          <w:rFonts w:ascii="Times New Roman" w:hAnsi="Times New Roman" w:cs="Times New Roman"/>
          <w:lang w:val="en-US"/>
        </w:rPr>
      </w:pPr>
    </w:p>
    <w:p w14:paraId="30DDA566" w14:textId="77777777" w:rsidR="00342072" w:rsidRDefault="00342072">
      <w:pPr>
        <w:ind w:left="720"/>
        <w:rPr>
          <w:rFonts w:ascii="Times New Roman" w:hAnsi="Times New Roman" w:cs="Times New Roman"/>
          <w:lang w:val="en-US"/>
        </w:rPr>
      </w:pPr>
    </w:p>
    <w:p w14:paraId="421F1518" w14:textId="77777777" w:rsidR="00342072" w:rsidRDefault="00342072">
      <w:pPr>
        <w:ind w:left="720"/>
        <w:rPr>
          <w:rFonts w:ascii="Times New Roman" w:hAnsi="Times New Roman" w:cs="Times New Roman"/>
          <w:lang w:val="en-US"/>
        </w:rPr>
      </w:pPr>
    </w:p>
    <w:p w14:paraId="3D7907CB" w14:textId="77777777" w:rsidR="00342072" w:rsidRDefault="00342072">
      <w:pPr>
        <w:ind w:left="720"/>
        <w:rPr>
          <w:rFonts w:ascii="Times New Roman" w:hAnsi="Times New Roman" w:cs="Times New Roman"/>
          <w:lang w:val="en-US"/>
        </w:rPr>
      </w:pPr>
    </w:p>
    <w:p w14:paraId="672CDAEC" w14:textId="77777777" w:rsidR="00342072" w:rsidRDefault="00000000">
      <w:pPr>
        <w:ind w:left="2268"/>
        <w:rPr>
          <w:rFonts w:ascii="Times New Roman" w:hAnsi="Times New Roman" w:cs="Times New Roman"/>
          <w:lang w:val="en-US"/>
        </w:rPr>
      </w:pPr>
      <w:r>
        <w:rPr>
          <w:rFonts w:ascii="Times New Roman" w:hAnsi="Times New Roman" w:cs="Times New Roman"/>
          <w:b/>
          <w:bCs/>
          <w:lang w:val="en-US"/>
        </w:rPr>
        <w:t>Course Name:</w:t>
      </w:r>
      <w:r>
        <w:rPr>
          <w:rFonts w:ascii="Times New Roman" w:hAnsi="Times New Roman" w:cs="Times New Roman"/>
          <w:lang w:val="en-US"/>
        </w:rPr>
        <w:t xml:space="preserve"> Computer Graphics Fundamentals</w:t>
      </w:r>
    </w:p>
    <w:p w14:paraId="3ED78A51" w14:textId="77777777" w:rsidR="00342072" w:rsidRDefault="00000000">
      <w:pPr>
        <w:pStyle w:val="a3"/>
        <w:ind w:left="2268"/>
        <w:rPr>
          <w:rFonts w:ascii="Times New Roman" w:hAnsi="Times New Roman" w:cs="Times New Roman"/>
          <w:lang w:val="en-US"/>
        </w:rPr>
      </w:pPr>
      <w:r>
        <w:rPr>
          <w:rFonts w:ascii="Times New Roman" w:hAnsi="Times New Roman" w:cs="Times New Roman"/>
          <w:b/>
          <w:bCs/>
          <w:color w:val="000000"/>
          <w:sz w:val="24"/>
          <w:lang w:val="en-US"/>
        </w:rPr>
        <w:t>Project Title:</w:t>
      </w:r>
      <w:r>
        <w:rPr>
          <w:rFonts w:ascii="Times New Roman" w:hAnsi="Times New Roman" w:cs="Times New Roman"/>
          <w:color w:val="000000"/>
          <w:sz w:val="24"/>
          <w:lang w:val="en-US"/>
        </w:rPr>
        <w:t xml:space="preserve"> Baikonur Rocket Launch</w:t>
      </w:r>
    </w:p>
    <w:p w14:paraId="6DE2258E" w14:textId="77777777" w:rsidR="00342072" w:rsidRDefault="00000000">
      <w:pPr>
        <w:ind w:left="2268"/>
        <w:rPr>
          <w:rFonts w:ascii="Times New Roman" w:hAnsi="Times New Roman" w:cs="Times New Roman"/>
          <w:lang w:val="en-US"/>
        </w:rPr>
      </w:pPr>
      <w:r>
        <w:rPr>
          <w:rFonts w:ascii="Times New Roman" w:hAnsi="Times New Roman" w:cs="Times New Roman"/>
          <w:b/>
          <w:bCs/>
          <w:lang w:val="en-US"/>
        </w:rPr>
        <w:t>Team Members:</w:t>
      </w:r>
      <w:r>
        <w:rPr>
          <w:rFonts w:ascii="Times New Roman" w:hAnsi="Times New Roman" w:cs="Times New Roman"/>
          <w:lang w:val="en-US"/>
        </w:rPr>
        <w:t xml:space="preserve"> Akbope Bakytkeldy, SE2426</w:t>
        <w:br/>
        <w:t>Moldir Omar, SE2426</w:t>
        <w:br/>
        <w:t>Ayaulym Talgat, SE2427</w:t>
        <w:br/>
        <w:t>Talant Altaikhan, SE2425</w:t>
      </w:r>
    </w:p>
    <w:p w14:paraId="17C7BA84" w14:textId="1E9EF6C4" w:rsidR="00342072" w:rsidRDefault="00000000">
      <w:pPr>
        <w:ind w:left="2268"/>
        <w:rPr>
          <w:rFonts w:ascii="Times New Roman" w:hAnsi="Times New Roman" w:cs="Times New Roman"/>
          <w:lang w:val="en-US"/>
        </w:rPr>
      </w:pPr>
      <w:r>
        <w:rPr>
          <w:rFonts w:ascii="Times New Roman" w:hAnsi="Times New Roman" w:cs="Times New Roman"/>
          <w:b/>
          <w:bCs/>
          <w:lang w:val="en-US"/>
        </w:rPr>
        <w:t>Instructor:</w:t>
      </w:r>
      <w:r>
        <w:rPr>
          <w:rFonts w:ascii="Times New Roman" w:hAnsi="Times New Roman" w:cs="Times New Roman"/>
          <w:lang w:val="en-US"/>
        </w:rPr>
        <w:t xml:space="preserve"> </w:t>
      </w:r>
      <w:r w:rsidR="00CE6747">
        <w:rPr>
          <w:rFonts w:ascii="Times New Roman" w:hAnsi="Times New Roman" w:cs="Times New Roman"/>
          <w:lang w:val="en-US"/>
        </w:rPr>
        <w:t>Nazira Shaimerdenova</w:t>
      </w:r>
    </w:p>
    <w:p w14:paraId="644B0C3A" w14:textId="77777777" w:rsidR="00342072" w:rsidRDefault="00000000">
      <w:pPr>
        <w:ind w:left="2268"/>
        <w:rPr>
          <w:rFonts w:ascii="Times New Roman" w:hAnsi="Times New Roman" w:cs="Times New Roman"/>
          <w:lang w:val="en-US"/>
        </w:rPr>
      </w:pPr>
      <w:r>
        <w:rPr>
          <w:rFonts w:ascii="Times New Roman" w:hAnsi="Times New Roman" w:cs="Times New Roman"/>
          <w:b/>
          <w:bCs/>
          <w:lang w:val="en-US"/>
        </w:rPr>
        <w:t>Date of Submission:</w:t>
      </w:r>
      <w:r>
        <w:rPr>
          <w:rFonts w:ascii="Times New Roman" w:hAnsi="Times New Roman" w:cs="Times New Roman"/>
          <w:lang w:val="en-US"/>
        </w:rPr>
        <w:t xml:space="preserve"> To be confirmed</w:t>
      </w:r>
    </w:p>
    <w:p w14:paraId="2E2108B4" w14:textId="77777777" w:rsidR="00342072" w:rsidRDefault="00342072">
      <w:pPr>
        <w:ind w:left="720"/>
        <w:rPr>
          <w:rFonts w:ascii="Times New Roman" w:hAnsi="Times New Roman" w:cs="Times New Roman"/>
          <w:lang w:val="en-US"/>
        </w:rPr>
      </w:pPr>
    </w:p>
    <w:p>
      <w:r>
        <w:br w:type="page"/>
      </w:r>
    </w:p>
    <w:p>
      <w:pPr>
        <w:keepNext/>
        <w:spacing w:after="160" w:line="278" w:lineRule="auto"/>
      </w:pPr>
      <w:r>
        <w:rPr>
          <w:rFonts w:ascii="Times New Roman" w:hAnsi="Times New Roman"/>
          <w:b/>
          <w:color w:val="000000"/>
          <w:sz w:val="24"/>
        </w:rPr>
        <w:t>Table of Contents</w:t>
      </w:r>
    </w:p>
    <w:p>
      <w:pPr>
        <w:keepNext w:val="0"/>
        <w:spacing w:after="160" w:line="278" w:lineRule="auto"/>
      </w:pPr>
      <w:r>
        <w:rPr>
          <w:rFonts w:ascii="Times New Roman" w:hAnsi="Times New Roman"/>
          <w:b w:val="0"/>
          <w:color w:val="000000"/>
          <w:sz w:val="24"/>
        </w:rPr>
        <w:t>1 Introduction ........................................................................ 3</w:t>
      </w:r>
    </w:p>
    <w:p>
      <w:pPr>
        <w:keepNext w:val="0"/>
        <w:spacing w:after="160" w:line="278" w:lineRule="auto"/>
      </w:pPr>
      <w:r>
        <w:rPr>
          <w:rFonts w:ascii="Times New Roman" w:hAnsi="Times New Roman"/>
          <w:b w:val="0"/>
          <w:color w:val="000000"/>
          <w:sz w:val="24"/>
        </w:rPr>
        <w:t>2 Literature Review .............................................................. 4</w:t>
      </w:r>
    </w:p>
    <w:p>
      <w:pPr>
        <w:keepNext w:val="0"/>
        <w:spacing w:after="160" w:line="278" w:lineRule="auto"/>
      </w:pPr>
      <w:r>
        <w:rPr>
          <w:rFonts w:ascii="Times New Roman" w:hAnsi="Times New Roman"/>
          <w:b w:val="0"/>
          <w:color w:val="000000"/>
          <w:sz w:val="24"/>
        </w:rPr>
        <w:t xml:space="preserve">   2.1 Particle and fire representations .................................. 4</w:t>
      </w:r>
    </w:p>
    <w:p>
      <w:pPr>
        <w:keepNext w:val="0"/>
        <w:spacing w:after="160" w:line="278" w:lineRule="auto"/>
      </w:pPr>
      <w:r>
        <w:rPr>
          <w:rFonts w:ascii="Times New Roman" w:hAnsi="Times New Roman"/>
          <w:b w:val="0"/>
          <w:color w:val="000000"/>
          <w:sz w:val="24"/>
        </w:rPr>
        <w:t xml:space="preserve">   2.2 Turbulence and rendering cost ..................................... 5</w:t>
      </w:r>
    </w:p>
    <w:p>
      <w:pPr>
        <w:keepNext w:val="0"/>
        <w:spacing w:after="160" w:line="278" w:lineRule="auto"/>
      </w:pPr>
      <w:r>
        <w:rPr>
          <w:rFonts w:ascii="Times New Roman" w:hAnsi="Times New Roman"/>
          <w:b w:val="0"/>
          <w:color w:val="000000"/>
          <w:sz w:val="24"/>
        </w:rPr>
        <w:t xml:space="preserve">   2.3 Materials and atmospheric appearance ........................ 6</w:t>
      </w:r>
    </w:p>
    <w:p>
      <w:pPr>
        <w:keepNext w:val="0"/>
        <w:spacing w:after="160" w:line="278" w:lineRule="auto"/>
      </w:pPr>
      <w:r>
        <w:rPr>
          <w:rFonts w:ascii="Times New Roman" w:hAnsi="Times New Roman"/>
          <w:b w:val="0"/>
          <w:color w:val="000000"/>
          <w:sz w:val="24"/>
        </w:rPr>
        <w:t>3 Project Description ............................................................ 7</w:t>
      </w:r>
    </w:p>
    <w:p>
      <w:pPr>
        <w:keepNext w:val="0"/>
        <w:spacing w:after="160" w:line="278" w:lineRule="auto"/>
      </w:pPr>
      <w:r>
        <w:rPr>
          <w:rFonts w:ascii="Times New Roman" w:hAnsi="Times New Roman"/>
          <w:b w:val="0"/>
          <w:color w:val="000000"/>
          <w:sz w:val="24"/>
        </w:rPr>
        <w:t>4 Technical Implementation .................................................. 8</w:t>
      </w:r>
    </w:p>
    <w:p>
      <w:pPr>
        <w:keepNext w:val="0"/>
        <w:spacing w:after="160" w:line="278" w:lineRule="auto"/>
      </w:pPr>
      <w:r>
        <w:rPr>
          <w:rFonts w:ascii="Times New Roman" w:hAnsi="Times New Roman"/>
          <w:b w:val="0"/>
          <w:color w:val="000000"/>
          <w:sz w:val="24"/>
        </w:rPr>
        <w:t xml:space="preserve">   4.1 Tools and technologies used ....................................... 8</w:t>
      </w:r>
    </w:p>
    <w:p>
      <w:pPr>
        <w:keepNext w:val="0"/>
        <w:spacing w:after="160" w:line="278" w:lineRule="auto"/>
      </w:pPr>
      <w:r>
        <w:rPr>
          <w:rFonts w:ascii="Times New Roman" w:hAnsi="Times New Roman"/>
          <w:b w:val="0"/>
          <w:color w:val="000000"/>
          <w:sz w:val="24"/>
        </w:rPr>
        <w:t xml:space="preserve">   4.2 Development process ................................................ 8</w:t>
      </w:r>
    </w:p>
    <w:p>
      <w:pPr>
        <w:keepNext w:val="0"/>
        <w:spacing w:after="160" w:line="278" w:lineRule="auto"/>
      </w:pPr>
      <w:r>
        <w:rPr>
          <w:rFonts w:ascii="Times New Roman" w:hAnsi="Times New Roman"/>
          <w:b w:val="0"/>
          <w:color w:val="000000"/>
          <w:sz w:val="24"/>
        </w:rPr>
        <w:t xml:space="preserve">   4.3 Algorithms and mathematical model ........................... 9</w:t>
      </w:r>
    </w:p>
    <w:p>
      <w:pPr>
        <w:keepNext w:val="0"/>
        <w:spacing w:after="160" w:line="278" w:lineRule="auto"/>
      </w:pPr>
      <w:r>
        <w:rPr>
          <w:rFonts w:ascii="Times New Roman" w:hAnsi="Times New Roman"/>
          <w:b w:val="0"/>
          <w:color w:val="000000"/>
          <w:sz w:val="24"/>
        </w:rPr>
        <w:t>5 Graphics and Rendering ................................................... 10</w:t>
      </w:r>
    </w:p>
    <w:p>
      <w:pPr>
        <w:keepNext w:val="0"/>
        <w:spacing w:after="160" w:line="278" w:lineRule="auto"/>
      </w:pPr>
      <w:r>
        <w:rPr>
          <w:rFonts w:ascii="Times New Roman" w:hAnsi="Times New Roman"/>
          <w:b w:val="0"/>
          <w:color w:val="000000"/>
          <w:sz w:val="24"/>
        </w:rPr>
        <w:t xml:space="preserve">   5.1 Scene construction and lighting ................................ 10</w:t>
      </w:r>
    </w:p>
    <w:p>
      <w:pPr>
        <w:keepNext w:val="0"/>
        <w:spacing w:after="160" w:line="278" w:lineRule="auto"/>
      </w:pPr>
      <w:r>
        <w:rPr>
          <w:rFonts w:ascii="Times New Roman" w:hAnsi="Times New Roman"/>
          <w:b w:val="0"/>
          <w:color w:val="000000"/>
          <w:sz w:val="24"/>
        </w:rPr>
        <w:t xml:space="preserve">   5.2 Shading and texture sampling ................................... 11</w:t>
      </w:r>
    </w:p>
    <w:p>
      <w:pPr>
        <w:keepNext w:val="0"/>
        <w:spacing w:after="160" w:line="278" w:lineRule="auto"/>
      </w:pPr>
      <w:r>
        <w:rPr>
          <w:rFonts w:ascii="Times New Roman" w:hAnsi="Times New Roman"/>
          <w:b w:val="0"/>
          <w:color w:val="000000"/>
          <w:sz w:val="24"/>
        </w:rPr>
        <w:t xml:space="preserve">   5.3 Particle animation and separation .............................. 12</w:t>
      </w:r>
    </w:p>
    <w:p>
      <w:pPr>
        <w:keepNext w:val="0"/>
        <w:spacing w:after="160" w:line="278" w:lineRule="auto"/>
      </w:pPr>
      <w:r>
        <w:rPr>
          <w:rFonts w:ascii="Times New Roman" w:hAnsi="Times New Roman"/>
          <w:b w:val="0"/>
          <w:color w:val="000000"/>
          <w:sz w:val="24"/>
        </w:rPr>
        <w:t>6 Testing and Evaluation ..................................................... 13</w:t>
      </w:r>
    </w:p>
    <w:p>
      <w:pPr>
        <w:keepNext w:val="0"/>
        <w:spacing w:after="160" w:line="278" w:lineRule="auto"/>
      </w:pPr>
      <w:r>
        <w:rPr>
          <w:rFonts w:ascii="Times New Roman" w:hAnsi="Times New Roman"/>
          <w:b w:val="0"/>
          <w:color w:val="000000"/>
          <w:sz w:val="24"/>
        </w:rPr>
        <w:t>7 Conclusion and Future Work ............................................. 14</w:t>
      </w:r>
    </w:p>
    <w:p>
      <w:pPr>
        <w:keepNext w:val="0"/>
        <w:spacing w:after="160" w:line="278" w:lineRule="auto"/>
      </w:pPr>
      <w:r>
        <w:rPr>
          <w:rFonts w:ascii="Times New Roman" w:hAnsi="Times New Roman"/>
          <w:b w:val="0"/>
          <w:color w:val="000000"/>
          <w:sz w:val="24"/>
        </w:rPr>
        <w:t>8 References ....................................................................... 15</w:t>
      </w:r>
    </w:p>
    <w:p>
      <w:pPr>
        <w:keepNext w:val="0"/>
        <w:spacing w:after="160" w:line="278" w:lineRule="auto"/>
      </w:pPr>
      <w:r>
        <w:rPr>
          <w:rFonts w:ascii="Times New Roman" w:hAnsi="Times New Roman"/>
          <w:b w:val="0"/>
          <w:color w:val="000000"/>
          <w:sz w:val="24"/>
        </w:rPr>
        <w:t>9 AI Use Note ..................................................................... 18</w:t>
      </w:r>
    </w:p>
    <w:p>
      <w:pPr>
        <w:keepNext w:val="0"/>
        <w:spacing w:after="160" w:line="278" w:lineRule="auto"/>
      </w:pPr>
      <w:r>
        <w:rPr>
          <w:rFonts w:ascii="Times New Roman" w:hAnsi="Times New Roman"/>
          <w:b w:val="0"/>
          <w:color w:val="000000"/>
          <w:sz w:val="24"/>
        </w:rPr>
        <w:t>Appendix A Course connections and defense ..................... 19</w:t>
      </w:r>
    </w:p>
    <w:p>
      <w:pPr>
        <w:keepNext w:val="0"/>
        <w:spacing w:after="160" w:line="278" w:lineRule="auto"/>
      </w:pPr>
      <w:r>
        <w:rPr>
          <w:rFonts w:ascii="Times New Roman" w:hAnsi="Times New Roman"/>
          <w:b w:val="0"/>
          <w:color w:val="000000"/>
          <w:sz w:val="24"/>
        </w:rPr>
        <w:t>Appendix B Kazakhstan terrain .......................................... 20</w:t>
      </w:r>
    </w:p>
    <w:p>
      <w:pPr>
        <w:keepNext w:val="0"/>
        <w:spacing w:after="160" w:line="278" w:lineRule="auto"/>
      </w:pPr>
      <w:r>
        <w:rPr>
          <w:rFonts w:ascii="Times New Roman" w:hAnsi="Times New Roman"/>
          <w:b/>
          <w:color w:val="000000"/>
          <w:sz w:val="24"/>
        </w:rPr>
        <w:t>Deliverables</w:t>
      </w:r>
    </w:p>
    <w:p>
      <w:pPr>
        <w:keepNext w:val="0"/>
        <w:spacing w:after="160" w:line="278" w:lineRule="auto"/>
      </w:pPr>
      <w:r>
        <w:rPr>
          <w:rFonts w:ascii="Times New Roman" w:hAnsi="Times New Roman"/>
          <w:b w:val="0"/>
          <w:color w:val="000000"/>
          <w:sz w:val="24"/>
        </w:rPr>
        <w:t>The accompanying source package contains the C++ application, GLSL shaders, bundled dependencies, tests, build instructions and evidence logs. The presentation contains ten slides. The captioned demonstration runs for 3 minutes 20 seconds at 1920 by 1080 pixels.</w:t>
      </w:r>
    </w:p>
    <w:p>
      <w:r>
        <w:br w:type="page"/>
      </w:r>
    </w:p>
    <w:p>
      <w:pPr>
        <w:keepNext/>
        <w:spacing w:after="160" w:line="278" w:lineRule="auto"/>
      </w:pPr>
      <w:r>
        <w:rPr>
          <w:rFonts w:ascii="Times New Roman" w:hAnsi="Times New Roman"/>
          <w:b/>
          <w:color w:val="000000"/>
          <w:sz w:val="24"/>
        </w:rPr>
        <w:t>1 Introduction</w:t>
      </w:r>
    </w:p>
    <w:p>
      <w:pPr>
        <w:keepNext w:val="0"/>
        <w:spacing w:after="160" w:line="278" w:lineRule="auto"/>
      </w:pPr>
      <w:r>
        <w:rPr>
          <w:rFonts w:ascii="Times New Roman" w:hAnsi="Times New Roman"/>
          <w:b w:val="0"/>
          <w:color w:val="000000"/>
          <w:sz w:val="24"/>
        </w:rPr>
        <w:t>Baikonur Rocket Launch is an interactive computer graphics application that presents a countdown, engine ignition, ascent and booster separation from a stylized launch complex. The project combines the course pipeline into one native C++ application: indexed geometry, programmable shaders, matrix transformations, lighting, texture sampling and interactive viewing.</w:t>
      </w:r>
    </w:p>
    <w:p>
      <w:pPr>
        <w:keepNext w:val="0"/>
        <w:spacing w:after="160" w:line="278" w:lineRule="auto"/>
      </w:pPr>
      <w:r>
        <w:rPr>
          <w:rFonts w:ascii="Times New Roman" w:hAnsi="Times New Roman"/>
          <w:b w:val="0"/>
          <w:color w:val="000000"/>
          <w:sz w:val="24"/>
        </w:rPr>
        <w:t>A rocket launch makes the relationship between these techniques visible. The gantry and ground provide stable spatial references. The rocket body and four boosters demonstrate hierarchical transformations. Ignition introduces a moving point light and two different particle materials. A chase camera connects the flight path to the viewing transformation, while an altitude-dependent sky shows how a simulation parameter can drive a fragment shader.</w:t>
      </w:r>
    </w:p>
    <w:p>
      <w:pPr>
        <w:keepNext w:val="0"/>
        <w:spacing w:after="160" w:line="278" w:lineRule="auto"/>
      </w:pPr>
      <w:r>
        <w:rPr>
          <w:rFonts w:ascii="Times New Roman" w:hAnsi="Times New Roman"/>
          <w:b w:val="0"/>
          <w:color w:val="000000"/>
          <w:sz w:val="24"/>
        </w:rPr>
        <w:t>The application is intended for classroom demonstration and explanation. The rocket and site are original procedural approximations inspired by the selected Baikonur topic. Their dimensions, trajectory and timing are compressed to make the complete sequence easy to inspect. The result is a graphics study rather than an aerospace simulator or an architectural reconstruction of a specific launch pad.</w:t>
      </w:r>
    </w:p>
    <w:p>
      <w:pPr>
        <w:keepNext/>
        <w:spacing w:after="160" w:line="278" w:lineRule="auto"/>
      </w:pPr>
      <w:r>
        <w:rPr>
          <w:rFonts w:ascii="Times New Roman" w:hAnsi="Times New Roman"/>
          <w:b/>
          <w:color w:val="000000"/>
          <w:sz w:val="24"/>
        </w:rPr>
        <w:t>1.1 Expected outcome</w:t>
      </w:r>
    </w:p>
    <w:p>
      <w:pPr>
        <w:keepNext w:val="0"/>
        <w:spacing w:after="160" w:line="278" w:lineRule="auto"/>
      </w:pPr>
      <w:r>
        <w:rPr>
          <w:rFonts w:ascii="Times New Roman" w:hAnsi="Times New Roman"/>
          <w:b w:val="0"/>
          <w:color w:val="000000"/>
          <w:sz w:val="24"/>
        </w:rPr>
        <w:t>The principal outcome is a repeatable, interactive scene that exposes its graphics features through keyboard, mouse and on-screen controls. Users can inspect the launch site, switch lighting, view wireframe geometry, launch the rocket, follow its ascent, separate boosters, pause the mission and reset it. A visible FPS counter and exported frame-time logs support performance evaluation.</w:t>
      </w:r>
    </w:p>
    <w:p>
      <w:pPr>
        <w:keepNext w:val="0"/>
        <w:spacing w:after="160" w:line="278" w:lineRule="auto"/>
      </w:pPr>
      <w:r>
        <w:rPr>
          <w:rFonts w:ascii="Times New Roman" w:hAnsi="Times New Roman"/>
          <w:b w:val="0"/>
          <w:color w:val="000000"/>
          <w:sz w:val="24"/>
        </w:rPr>
        <w:t>The implementation includes all three topic-specific stretch features: booster detachment with independent motion, ignition camera shake, and stars that become visible at altitude. The report separates these implemented visual effects from advanced research techniques discussed as alternatives. It also records which validation tasks remain specific to the final teaching-assistant environment.</w:t>
      </w:r>
    </w:p>
    <w:p>
      <w:pPr>
        <w:keepNext/>
        <w:spacing w:after="160" w:line="278" w:lineRule="auto"/>
      </w:pPr>
      <w:r>
        <w:rPr>
          <w:rFonts w:ascii="Times New Roman" w:hAnsi="Times New Roman"/>
          <w:b/>
          <w:color w:val="000000"/>
          <w:sz w:val="24"/>
        </w:rPr>
        <w:t>1.2 Relation to the course</w:t>
      </w:r>
    </w:p>
    <w:p>
      <w:pPr>
        <w:keepNext w:val="0"/>
        <w:spacing w:after="160" w:line="278" w:lineRule="auto"/>
      </w:pPr>
      <w:r>
        <w:rPr>
          <w:rFonts w:ascii="Times New Roman" w:hAnsi="Times New Roman"/>
          <w:b w:val="0"/>
          <w:color w:val="000000"/>
          <w:sz w:val="24"/>
        </w:rPr>
        <w:t>The implementation follows the concepts in the supplied lectures on transformations, viewing, shading, texturing, hierarchical models and procedural methods [16]. The final assessment requires OpenGL 3.3 or newer in core profile. Consequently, the project uses GLFW and a GLAD loader with explicit matrices and GLSL rather than the historical fixed-function examples that appear in some lecture slides.</w:t>
      </w:r>
    </w:p>
    <w:p>
      <w:r>
        <w:br w:type="page"/>
      </w:r>
    </w:p>
    <w:p>
      <w:pPr>
        <w:keepNext/>
        <w:spacing w:after="160" w:line="278" w:lineRule="auto"/>
      </w:pPr>
      <w:r>
        <w:rPr>
          <w:rFonts w:ascii="Times New Roman" w:hAnsi="Times New Roman"/>
          <w:b/>
          <w:color w:val="000000"/>
          <w:sz w:val="24"/>
        </w:rPr>
        <w:t>2 Literature Review</w:t>
      </w:r>
    </w:p>
    <w:p>
      <w:pPr>
        <w:keepNext/>
        <w:spacing w:after="160" w:line="278" w:lineRule="auto"/>
      </w:pPr>
      <w:r>
        <w:rPr>
          <w:rFonts w:ascii="Times New Roman" w:hAnsi="Times New Roman"/>
          <w:b/>
          <w:color w:val="000000"/>
          <w:sz w:val="24"/>
        </w:rPr>
        <w:t>2.1 Particle and fire representations</w:t>
      </w:r>
    </w:p>
    <w:p>
      <w:pPr>
        <w:keepNext w:val="0"/>
        <w:spacing w:after="160" w:line="278" w:lineRule="auto"/>
      </w:pPr>
      <w:r>
        <w:rPr>
          <w:rFonts w:ascii="Times New Roman" w:hAnsi="Times New Roman"/>
          <w:b w:val="0"/>
          <w:color w:val="000000"/>
          <w:sz w:val="24"/>
        </w:rPr>
        <w:t>The review compares fifteen journal articles [1]-[15] from ACM Transactions on Graphics and Computer Graphics Forum. It focuses on decisions relevant to a small interactive launch scene: visual control, simulation cost, material representation and atmospheric appearance. The cited papers establish alternatives and limitations; the project does not claim to implement every reviewed method.</w:t>
      </w:r>
    </w:p>
    <w:p>
      <w:pPr>
        <w:keepNext w:val="0"/>
        <w:spacing w:after="160" w:line="278" w:lineRule="auto"/>
      </w:pPr>
      <w:r>
        <w:rPr>
          <w:rFonts w:ascii="Times New Roman" w:hAnsi="Times New Roman"/>
          <w:b w:val="0"/>
          <w:color w:val="000000"/>
          <w:sz w:val="24"/>
        </w:rPr>
        <w:t>Reeves [1] represents fuzzy phenomena through many particles whose birth, motion, appearance and death vary over time. This representation is a direct conceptual fit for exhaust and smoke because a cloud has no single stable polygonal boundary. The project adopts a finite particle lifecycle with randomized initial velocity, size and lifetime. Its camera-facing quads differ from a full participating-volume renderer but keep the lifecycle visible and inexpensive.</w:t>
      </w:r>
    </w:p>
    <w:p>
      <w:pPr>
        <w:keepNext w:val="0"/>
        <w:spacing w:after="160" w:line="278" w:lineRule="auto"/>
      </w:pPr>
      <w:r>
        <w:rPr>
          <w:rFonts w:ascii="Times New Roman" w:hAnsi="Times New Roman"/>
          <w:b w:val="0"/>
          <w:color w:val="000000"/>
          <w:sz w:val="24"/>
        </w:rPr>
        <w:t>Nguyen, Fedkiw and Jensen [5] model fuel and hot gaseous products using fluid dynamics and render the resulting fire through a physically based treatment. This connects flame motion, buoyancy and radiance more closely than independent particles can. Such a system would improve combustion realism, but its field representation and numerical solution would substantially expand the scope of a course project. The implemented flame therefore uses age-based color, downward velocity and additive blending.</w:t>
      </w:r>
    </w:p>
    <w:p>
      <w:pPr>
        <w:keepNext w:val="0"/>
        <w:spacing w:after="160" w:line="278" w:lineRule="auto"/>
      </w:pPr>
      <w:r>
        <w:rPr>
          <w:rFonts w:ascii="Times New Roman" w:hAnsi="Times New Roman"/>
          <w:b w:val="0"/>
          <w:color w:val="000000"/>
          <w:sz w:val="24"/>
        </w:rPr>
        <w:t>Lamorlette and Foster [6] emphasize artistic control of flame behavior through structural and stochastic mechanisms. Their approach shows that controllable motion is itself an important production objective. In this project, explicit emission rate, lifetime, speed and color parameters serve a similar design objective at a much simpler level. No spline-based flame skeleton or production flame system from that paper is implemented.</w:t>
      </w:r>
    </w:p>
    <w:p>
      <w:pPr>
        <w:keepNext w:val="0"/>
        <w:spacing w:after="160" w:line="278" w:lineRule="auto"/>
      </w:pPr>
      <w:r>
        <w:rPr>
          <w:rFonts w:ascii="Times New Roman" w:hAnsi="Times New Roman"/>
          <w:b w:val="0"/>
          <w:color w:val="000000"/>
          <w:sz w:val="24"/>
        </w:rPr>
        <w:t>Rasmussen and colleagues [7] combine fluid-generated motion with additional turbulent detail to produce large-scale smoke. Their work explains why a convincing plume needs structure at several spatial scales. The project instead uses expanding billboards with outward drift near the pad. This is sufficient to distinguish smoke from fire, but it cannot reproduce coherent rolling vortices or light attenuation through a dense volume.</w:t>
      </w:r>
    </w:p>
    <w:p>
      <w:pPr>
        <w:keepNext/>
        <w:spacing w:after="160" w:line="278" w:lineRule="auto"/>
      </w:pPr>
      <w:r>
        <w:rPr>
          <w:rFonts w:ascii="Times New Roman" w:hAnsi="Times New Roman"/>
          <w:b/>
          <w:color w:val="000000"/>
          <w:sz w:val="24"/>
        </w:rPr>
        <w:t>Design implication</w:t>
      </w:r>
    </w:p>
    <w:p>
      <w:pPr>
        <w:keepNext w:val="0"/>
        <w:spacing w:after="160" w:line="278" w:lineRule="auto"/>
      </w:pPr>
      <w:r>
        <w:rPr>
          <w:rFonts w:ascii="Times New Roman" w:hAnsi="Times New Roman"/>
          <w:b w:val="0"/>
          <w:color w:val="000000"/>
          <w:sz w:val="24"/>
        </w:rPr>
        <w:t>These papers support a deliberate scope decision: maintain a clear and bounded particle lifecycle first, then identify fluid simulation and richer turbulent structure as future work. The visible effect must remain responsive to launch, pause and reset commands. This favors a compact CPU pool and GPU instancing over a large volumetric simulation.</w:t>
      </w:r>
    </w:p>
    <w:p>
      <w:r>
        <w:br w:type="page"/>
      </w:r>
    </w:p>
    <w:p>
      <w:pPr>
        <w:keepNext/>
        <w:spacing w:after="160" w:line="278" w:lineRule="auto"/>
      </w:pPr>
      <w:r>
        <w:rPr>
          <w:rFonts w:ascii="Times New Roman" w:hAnsi="Times New Roman"/>
          <w:b/>
          <w:color w:val="000000"/>
          <w:sz w:val="24"/>
        </w:rPr>
        <w:t>2.2 Turbulence and rendering cost</w:t>
      </w:r>
    </w:p>
    <w:p>
      <w:pPr>
        <w:keepNext w:val="0"/>
        <w:spacing w:after="160" w:line="278" w:lineRule="auto"/>
      </w:pPr>
      <w:r>
        <w:rPr>
          <w:rFonts w:ascii="Times New Roman" w:hAnsi="Times New Roman"/>
          <w:b w:val="0"/>
          <w:color w:val="000000"/>
          <w:sz w:val="24"/>
        </w:rPr>
        <w:t>Losasso, Gibou and Fedkiw [8] use an octree to concentrate simulation resolution where detail matters. This reduces the waste of uniformly fine grids but introduces adaptive data structures and pressure-solver complexity. The launch project has a different bottleneck and scale: a small, bounded particle set. It therefore shares geometry and batches particle rendering rather than allocating a fluid grid.</w:t>
      </w:r>
    </w:p>
    <w:p>
      <w:pPr>
        <w:keepNext w:val="0"/>
        <w:spacing w:after="160" w:line="278" w:lineRule="auto"/>
      </w:pPr>
      <w:r>
        <w:rPr>
          <w:rFonts w:ascii="Times New Roman" w:hAnsi="Times New Roman"/>
          <w:b w:val="0"/>
          <w:color w:val="000000"/>
          <w:sz w:val="24"/>
        </w:rPr>
        <w:t>Selle, Rasmussen and Fedkiw [9] combine vortex particles with an Eulerian representation to recover turbulent detail that can be lost in grid-based advection. Their method treats particles as carriers of rotational flow information, whereas the project particles are independent visual elements. The distinction is important: the implemented smoke has plausible drift and expansion, but it does not preserve vorticity or satisfy incompressible flow equations.</w:t>
      </w:r>
    </w:p>
    <w:p>
      <w:pPr>
        <w:keepNext w:val="0"/>
        <w:spacing w:after="160" w:line="278" w:lineRule="auto"/>
      </w:pPr>
      <w:r>
        <w:rPr>
          <w:rFonts w:ascii="Times New Roman" w:hAnsi="Times New Roman"/>
          <w:b w:val="0"/>
          <w:color w:val="000000"/>
          <w:sz w:val="24"/>
        </w:rPr>
        <w:t>Bridson, Hourihan and Nordenstam [10] derive procedural velocity fields using curl noise, enabling incompressible turbulent motion and boundary-aware behavior without a full simulation. This offers a closer extension path for the current application than an adaptive fluid solver. A future version could replace the simple outward smoke velocity with a curl-noise field. The current release does not label its value-noise ground pattern or random particle velocities as curl noise.</w:t>
      </w:r>
    </w:p>
    <w:p>
      <w:pPr>
        <w:keepNext w:val="0"/>
        <w:spacing w:after="160" w:line="278" w:lineRule="auto"/>
      </w:pPr>
      <w:r>
        <w:rPr>
          <w:rFonts w:ascii="Times New Roman" w:hAnsi="Times New Roman"/>
          <w:b w:val="0"/>
          <w:color w:val="000000"/>
          <w:sz w:val="24"/>
        </w:rPr>
        <w:t>Kim and colleagues [11] separate large-scale motion from high-frequency turbulence using wavelets. This separation helps artists add detail without recomputing every aspect of the base flow. It also suggests a useful architecture principle: keep mission progression independent from appearance detail. The project follows that separation through distinct Mission and Particles modules, although it does not implement wavelet synthesis.</w:t>
      </w:r>
    </w:p>
    <w:p>
      <w:pPr>
        <w:keepNext w:val="0"/>
        <w:spacing w:after="160" w:line="278" w:lineRule="auto"/>
      </w:pPr>
      <w:r>
        <w:rPr>
          <w:rFonts w:ascii="Times New Roman" w:hAnsi="Times New Roman"/>
          <w:b w:val="0"/>
          <w:color w:val="000000"/>
          <w:sz w:val="24"/>
        </w:rPr>
        <w:t>Cook [3] studies sampling and aliasing in computer graphics and shows how sampling patterns influence visible artifacts. The relevant lesson here is that increased geometric detail alone cannot prevent shimmer. The application requests four-sample MSAA for ordinary window rendering and uses mipmapped minification for its concrete texture. These are distinct practical filters, not an implementation of Cook's stochastic ray-tracing method. Video capture also renders with four-sample MSAA, then resolves to a texture before readback.</w:t>
      </w:r>
    </w:p>
    <w:p>
      <w:pPr>
        <w:keepNext/>
        <w:spacing w:after="160" w:line="278" w:lineRule="auto"/>
      </w:pPr>
      <w:r>
        <w:rPr>
          <w:rFonts w:ascii="Times New Roman" w:hAnsi="Times New Roman"/>
          <w:b/>
          <w:color w:val="000000"/>
          <w:sz w:val="24"/>
        </w:rPr>
        <w:t>Comparative assessment</w:t>
      </w:r>
    </w:p>
    <w:p>
      <w:pPr>
        <w:keepNext w:val="0"/>
        <w:spacing w:after="160" w:line="278" w:lineRule="auto"/>
      </w:pPr>
      <w:r>
        <w:rPr>
          <w:rFonts w:ascii="Times New Roman" w:hAnsi="Times New Roman"/>
          <w:b w:val="0"/>
          <w:color w:val="000000"/>
          <w:sz w:val="24"/>
        </w:rPr>
        <w:t>Adaptive grids [8], hybrid vorticity [9] and wavelet detail [11] offer more physical or multiscale structure than independent billboards. Curl noise [10] offers procedural control with lower integration cost. The current implementation prioritizes understandable data flow and stable interaction, using at most 3,600 particles and two instanced particle draws. The research methods remain specific, testable directions for future improvement.</w:t>
      </w:r>
    </w:p>
    <w:p>
      <w:r>
        <w:br w:type="page"/>
      </w:r>
    </w:p>
    <w:p>
      <w:pPr>
        <w:keepNext/>
        <w:spacing w:after="160" w:line="278" w:lineRule="auto"/>
      </w:pPr>
      <w:r>
        <w:rPr>
          <w:rFonts w:ascii="Times New Roman" w:hAnsi="Times New Roman"/>
          <w:b/>
          <w:color w:val="000000"/>
          <w:sz w:val="24"/>
        </w:rPr>
        <w:t>2.3 Materials and atmospheric appearance</w:t>
      </w:r>
    </w:p>
    <w:p>
      <w:pPr>
        <w:keepNext w:val="0"/>
        <w:spacing w:after="160" w:line="278" w:lineRule="auto"/>
      </w:pPr>
      <w:r>
        <w:rPr>
          <w:rFonts w:ascii="Times New Roman" w:hAnsi="Times New Roman"/>
          <w:b w:val="0"/>
          <w:color w:val="000000"/>
          <w:sz w:val="24"/>
        </w:rPr>
        <w:t>Cook and Torrance [2] describe a reflectance model that accounts for material-dependent angular behavior. Compared with that microfacet approach, Blinn-Phong offers a smaller set of terms that directly matches the course assessment: ambient, diffuse and specular. The project uses the latter and assigns different shininess values to metal-like rocket parts and matte structures. It does not claim physically based material calibration or energy conservation.</w:t>
      </w:r>
    </w:p>
    <w:p>
      <w:pPr>
        <w:keepNext w:val="0"/>
        <w:spacing w:after="160" w:line="278" w:lineRule="auto"/>
      </w:pPr>
      <w:r>
        <w:rPr>
          <w:rFonts w:ascii="Times New Roman" w:hAnsi="Times New Roman"/>
          <w:b w:val="0"/>
          <w:color w:val="000000"/>
          <w:sz w:val="24"/>
        </w:rPr>
        <w:t>Perlin [4] improves the construction of procedural noise, while Lagae and colleagues [15] compare noise families, filtering and their uses in graphics. These works explain why continuity and frequency content matter when procedural patterns are sampled. The implementation uses an original interpolated value-noise steppe pattern and a deterministic random concrete image. Neither is described as Perlin noise. More sophisticated noise would improve the natural appearance of the terrain and smoke.</w:t>
      </w:r>
    </w:p>
    <w:p>
      <w:pPr>
        <w:keepNext w:val="0"/>
        <w:spacing w:after="160" w:line="278" w:lineRule="auto"/>
      </w:pPr>
      <w:r>
        <w:rPr>
          <w:rFonts w:ascii="Times New Roman" w:hAnsi="Times New Roman"/>
          <w:b w:val="0"/>
          <w:color w:val="000000"/>
          <w:sz w:val="24"/>
        </w:rPr>
        <w:t>Bruneton and Neyret [12] precompute atmospheric scattering so a renderer can evaluate views from the ground to space efficiently. This approach relates appearance to physical scattering and viewing geometry. The application uses a much simpler blend between a warm horizon and a dark sky as the rocket gains altitude. It meets the visual transition required by the topic, but it cannot reproduce physically correct aerial perspective, planetary shadows or multiple scattering.</w:t>
      </w:r>
    </w:p>
    <w:p>
      <w:pPr>
        <w:keepNext w:val="0"/>
        <w:spacing w:after="160" w:line="278" w:lineRule="auto"/>
      </w:pPr>
      <w:r>
        <w:rPr>
          <w:rFonts w:ascii="Times New Roman" w:hAnsi="Times New Roman"/>
          <w:b w:val="0"/>
          <w:color w:val="000000"/>
          <w:sz w:val="24"/>
        </w:rPr>
        <w:t>Hosek and Wilkie [13] fit an analytic spectral sky model that improves important daylight conditions, including sunsets. Its compact evaluation makes it relevant to real-time graphics, but it targets a more principled radiance distribution than the project's artistic gradient. Hillaire [14] addresses scalable atmosphere rendering with compact lookup-table parameterizations and a multiple-scattering approximation. That method is a stronger future option for continuous ground-to-space views.</w:t>
      </w:r>
    </w:p>
    <w:p>
      <w:pPr>
        <w:keepNext/>
        <w:spacing w:after="160" w:line="278" w:lineRule="auto"/>
      </w:pPr>
      <w:r>
        <w:rPr>
          <w:rFonts w:ascii="Times New Roman" w:hAnsi="Times New Roman"/>
          <w:b/>
          <w:color w:val="000000"/>
          <w:sz w:val="24"/>
        </w:rPr>
        <w:t>Synthesis and source quality</w:t>
      </w:r>
    </w:p>
    <w:p>
      <w:pPr>
        <w:keepNext w:val="0"/>
        <w:spacing w:after="160" w:line="278" w:lineRule="auto"/>
      </w:pPr>
      <w:r>
        <w:rPr>
          <w:rFonts w:ascii="Times New Roman" w:hAnsi="Times New Roman"/>
          <w:b w:val="0"/>
          <w:color w:val="000000"/>
          <w:sz w:val="24"/>
        </w:rPr>
        <w:t>The final design uses simple course-level shading and particles while retaining an architecture that can accept richer material, noise and atmosphere models. The twelve ACM Transactions on Graphics articles and three Computer Graphics Forum articles are journal publications, including journal issues associated with graphics conferences. Their DOI metadata was checked against publisher records. Both venues are Q1 in the 2024 SCImago Computer Graphics and Computer-Aided Design category, using Scopus data as of March 2025 [19]. This is a venue-level classification; the submission checklist records the evidence and ranking convention.</w:t>
      </w:r>
    </w:p>
    <w:p>
      <w:r>
        <w:br w:type="page"/>
      </w:r>
    </w:p>
    <w:p>
      <w:pPr>
        <w:keepNext/>
        <w:spacing w:after="160" w:line="278" w:lineRule="auto"/>
      </w:pPr>
      <w:r>
        <w:rPr>
          <w:rFonts w:ascii="Times New Roman" w:hAnsi="Times New Roman"/>
          <w:b/>
          <w:color w:val="000000"/>
          <w:sz w:val="24"/>
        </w:rPr>
        <w:t>3 Project Description</w:t>
      </w:r>
    </w:p>
    <w:p>
      <w:pPr>
        <w:keepNext/>
        <w:spacing w:after="160" w:line="278" w:lineRule="auto"/>
      </w:pPr>
      <w:r>
        <w:rPr>
          <w:rFonts w:ascii="Times New Roman" w:hAnsi="Times New Roman"/>
          <w:b/>
          <w:color w:val="000000"/>
          <w:sz w:val="24"/>
        </w:rPr>
        <w:t>3.1 Objective</w:t>
      </w:r>
    </w:p>
    <w:p>
      <w:pPr>
        <w:keepNext w:val="0"/>
        <w:spacing w:after="160" w:line="278" w:lineRule="auto"/>
      </w:pPr>
      <w:r>
        <w:rPr>
          <w:rFonts w:ascii="Times New Roman" w:hAnsi="Times New Roman"/>
          <w:b w:val="0"/>
          <w:color w:val="000000"/>
          <w:sz w:val="24"/>
        </w:rPr>
        <w:t>Build a native C++17 application that makes the full graphics pipeline observable through a polished, interactive Baikonur-themed launch sequence. The target is at least 30 FPS at 1280 by 720 on the teaching-assistant machine, with a preference for 60 FPS or more. Results measured on the development machine are reported in Section 6.</w:t>
      </w:r>
    </w:p>
    <w:p>
      <w:pPr>
        <w:keepNext/>
        <w:spacing w:after="160" w:line="278" w:lineRule="auto"/>
      </w:pPr>
      <w:r>
        <w:rPr>
          <w:rFonts w:ascii="Times New Roman" w:hAnsi="Times New Roman"/>
          <w:b/>
          <w:color w:val="000000"/>
          <w:sz w:val="24"/>
        </w:rPr>
        <w:t>3.2 Problem statement</w:t>
      </w:r>
    </w:p>
    <w:p>
      <w:pPr>
        <w:keepNext w:val="0"/>
        <w:spacing w:after="160" w:line="278" w:lineRule="auto"/>
      </w:pPr>
      <w:r>
        <w:rPr>
          <w:rFonts w:ascii="Times New Roman" w:hAnsi="Times New Roman"/>
          <w:b w:val="0"/>
          <w:color w:val="000000"/>
          <w:sz w:val="24"/>
        </w:rPr>
        <w:t>The central problem is coordinating multiple representations in one frame. Rocket parts require consistent parent transforms, smoke requires transparency ordering, lighting requires normals in the correct coordinate space, and the camera must follow an object whose position changes continuously. These systems must remain synchronized when the user pauses, changes playback speed or resets the mission.</w:t>
      </w:r>
    </w:p>
    <w:p>
      <w:pPr>
        <w:keepNext/>
        <w:spacing w:after="160" w:line="278" w:lineRule="auto"/>
      </w:pPr>
      <w:r>
        <w:rPr>
          <w:rFonts w:ascii="Times New Roman" w:hAnsi="Times New Roman"/>
          <w:b/>
          <w:color w:val="000000"/>
          <w:sz w:val="24"/>
        </w:rPr>
        <w:t>3.3 Scope</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512"/>
        <w:gridCol w:w="7848"/>
      </w:tblGrid>
      <w:tr>
        <w:trPr>
          <w:cantSplit/>
          <w:tblHeader/>
        </w:trPr>
        <w:tc>
          <w:tcPr>
            <w:tcW w:type="dxa" w:w="1512"/>
          </w:tcPr>
          <w:p>
            <w:pPr>
              <w:spacing w:after="100" w:before="60"/>
            </w:pPr>
            <w:r>
              <w:rPr>
                <w:rFonts w:ascii="Times New Roman" w:hAnsi="Times New Roman"/>
                <w:b/>
                <w:sz w:val="24"/>
              </w:rPr>
              <w:t>Area</w:t>
            </w:r>
          </w:p>
        </w:tc>
        <w:tc>
          <w:tcPr>
            <w:tcW w:type="dxa" w:w="7848"/>
          </w:tcPr>
          <w:p>
            <w:pPr>
              <w:spacing w:after="100" w:before="60"/>
            </w:pPr>
            <w:r>
              <w:rPr>
                <w:rFonts w:ascii="Times New Roman" w:hAnsi="Times New Roman"/>
                <w:b/>
                <w:sz w:val="24"/>
              </w:rPr>
              <w:t>Implemented behavior</w:t>
            </w:r>
          </w:p>
        </w:tc>
      </w:tr>
      <w:tr>
        <w:trPr>
          <w:cantSplit/>
        </w:trPr>
        <w:tc>
          <w:tcPr>
            <w:tcW w:type="dxa" w:w="1512"/>
          </w:tcPr>
          <w:p>
            <w:pPr>
              <w:spacing w:after="100" w:before="60"/>
            </w:pPr>
            <w:r>
              <w:rPr>
                <w:rFonts w:ascii="Times New Roman" w:hAnsi="Times New Roman"/>
                <w:b w:val="0"/>
                <w:sz w:val="24"/>
              </w:rPr>
              <w:t>Scene</w:t>
            </w:r>
          </w:p>
        </w:tc>
        <w:tc>
          <w:tcPr>
            <w:tcW w:type="dxa" w:w="7848"/>
          </w:tcPr>
          <w:p>
            <w:pPr>
              <w:spacing w:after="100" w:before="60"/>
            </w:pPr>
            <w:r>
              <w:rPr>
                <w:rFonts w:ascii="Times New Roman" w:hAnsi="Times New Roman"/>
                <w:b w:val="0"/>
                <w:sz w:val="24"/>
              </w:rPr>
              <w:t>Kazakhstan terrain, pad, gantry, rocket, four boosters, hangar, tanks, radome, service vehicles, railway and steppe scenery.</w:t>
            </w:r>
          </w:p>
        </w:tc>
      </w:tr>
      <w:tr>
        <w:trPr>
          <w:cantSplit/>
        </w:trPr>
        <w:tc>
          <w:tcPr>
            <w:tcW w:type="dxa" w:w="1512"/>
          </w:tcPr>
          <w:p>
            <w:pPr>
              <w:spacing w:after="100" w:before="60"/>
            </w:pPr>
            <w:r>
              <w:rPr>
                <w:rFonts w:ascii="Times New Roman" w:hAnsi="Times New Roman"/>
                <w:b w:val="0"/>
                <w:sz w:val="24"/>
              </w:rPr>
              <w:t>Mission</w:t>
            </w:r>
          </w:p>
        </w:tc>
        <w:tc>
          <w:tcPr>
            <w:tcW w:type="dxa" w:w="7848"/>
          </w:tcPr>
          <w:p>
            <w:pPr>
              <w:spacing w:after="100" w:before="60"/>
            </w:pPr>
            <w:r>
              <w:rPr>
                <w:rFonts w:ascii="Times New Roman" w:hAnsi="Times New Roman"/>
                <w:b w:val="0"/>
                <w:sz w:val="24"/>
              </w:rPr>
              <w:t>Eight-second countdown, ignition at T-2, liftoff at T+0, automatic separation at T+24, manual separation after T+5.</w:t>
            </w:r>
          </w:p>
        </w:tc>
      </w:tr>
      <w:tr>
        <w:trPr>
          <w:cantSplit/>
        </w:trPr>
        <w:tc>
          <w:tcPr>
            <w:tcW w:type="dxa" w:w="1512"/>
          </w:tcPr>
          <w:p>
            <w:pPr>
              <w:spacing w:after="100" w:before="60"/>
            </w:pPr>
            <w:r>
              <w:rPr>
                <w:rFonts w:ascii="Times New Roman" w:hAnsi="Times New Roman"/>
                <w:b w:val="0"/>
                <w:sz w:val="24"/>
              </w:rPr>
              <w:t>Graphics</w:t>
            </w:r>
          </w:p>
        </w:tc>
        <w:tc>
          <w:tcPr>
            <w:tcW w:type="dxa" w:w="7848"/>
          </w:tcPr>
          <w:p>
            <w:pPr>
              <w:spacing w:after="100" w:before="60"/>
            </w:pPr>
            <w:r>
              <w:rPr>
                <w:rFonts w:ascii="Times New Roman" w:hAnsi="Times New Roman"/>
                <w:b w:val="0"/>
                <w:sz w:val="24"/>
              </w:rPr>
              <w:t>Indexed meshes, original GLSL, inverse-transpose normals, three light contributions, mipmapped concrete and procedural sky.</w:t>
            </w:r>
          </w:p>
        </w:tc>
      </w:tr>
      <w:tr>
        <w:trPr>
          <w:cantSplit/>
        </w:trPr>
        <w:tc>
          <w:tcPr>
            <w:tcW w:type="dxa" w:w="1512"/>
          </w:tcPr>
          <w:p>
            <w:pPr>
              <w:spacing w:after="100" w:before="60"/>
            </w:pPr>
            <w:r>
              <w:rPr>
                <w:rFonts w:ascii="Times New Roman" w:hAnsi="Times New Roman"/>
                <w:b w:val="0"/>
                <w:sz w:val="24"/>
              </w:rPr>
              <w:t>Interaction</w:t>
            </w:r>
          </w:p>
        </w:tc>
        <w:tc>
          <w:tcPr>
            <w:tcW w:type="dxa" w:w="7848"/>
          </w:tcPr>
          <w:p>
            <w:pPr>
              <w:spacing w:after="100" w:before="60"/>
            </w:pPr>
            <w:r>
              <w:rPr>
                <w:rFonts w:ascii="Times New Roman" w:hAnsi="Times New Roman"/>
                <w:b w:val="0"/>
                <w:sz w:val="24"/>
              </w:rPr>
              <w:t>Keyboard and mouse orbit, zoom, chase mode, pause, reset, speed control, light/night toggles, wireframe and screenshots.</w:t>
            </w:r>
          </w:p>
        </w:tc>
      </w:tr>
      <w:tr>
        <w:trPr>
          <w:cantSplit/>
        </w:trPr>
        <w:tc>
          <w:tcPr>
            <w:tcW w:type="dxa" w:w="1512"/>
          </w:tcPr>
          <w:p>
            <w:pPr>
              <w:spacing w:after="100" w:before="60"/>
            </w:pPr>
            <w:r>
              <w:rPr>
                <w:rFonts w:ascii="Times New Roman" w:hAnsi="Times New Roman"/>
                <w:b w:val="0"/>
                <w:sz w:val="24"/>
              </w:rPr>
              <w:t>Stretch</w:t>
            </w:r>
          </w:p>
        </w:tc>
        <w:tc>
          <w:tcPr>
            <w:tcW w:type="dxa" w:w="7848"/>
          </w:tcPr>
          <w:p>
            <w:pPr>
              <w:spacing w:after="100" w:before="60"/>
            </w:pPr>
            <w:r>
              <w:rPr>
                <w:rFonts w:ascii="Times New Roman" w:hAnsi="Times New Roman"/>
                <w:b w:val="0"/>
                <w:sz w:val="24"/>
              </w:rPr>
              <w:t>Independent booster trajectories, ignition shake, altitude-dependent stars.</w:t>
            </w:r>
          </w:p>
        </w:tc>
      </w:tr>
    </w:tbl>
    <w:p>
      <w:pPr>
        <w:keepNext w:val="0"/>
        <w:spacing w:after="160" w:line="278" w:lineRule="auto"/>
      </w:pPr>
      <w:r>
        <w:rPr>
          <w:rFonts w:ascii="Times New Roman" w:hAnsi="Times New Roman"/>
          <w:b w:val="0"/>
          <w:color w:val="000000"/>
          <w:sz w:val="24"/>
        </w:rPr>
      </w:r>
    </w:p>
    <w:p>
      <w:pPr>
        <w:keepNext w:val="0"/>
        <w:spacing w:after="160" w:line="278" w:lineRule="auto"/>
      </w:pPr>
      <w:r>
        <w:rPr>
          <w:rFonts w:ascii="Times New Roman" w:hAnsi="Times New Roman"/>
          <w:b w:val="0"/>
          <w:color w:val="000000"/>
          <w:sz w:val="24"/>
        </w:rPr>
        <w:t>The site and vehicle are stylized. Flight dynamics, combustion chemistry, Earth curvature, real telemetry, shadow mapping and collision with the gantry are outside scope. Booster motion uses a visual ballistic arc and a ground-height clamp, not a rigid-body collision solver. The sky transition occurs at compressed demonstration altitudes.</w:t>
      </w:r>
    </w:p>
    <w:p>
      <w:r>
        <w:br w:type="page"/>
      </w:r>
    </w:p>
    <w:p>
      <w:pPr>
        <w:keepNext/>
        <w:spacing w:after="160" w:line="278" w:lineRule="auto"/>
      </w:pPr>
      <w:r>
        <w:rPr>
          <w:rFonts w:ascii="Times New Roman" w:hAnsi="Times New Roman"/>
          <w:b/>
          <w:color w:val="000000"/>
          <w:sz w:val="24"/>
        </w:rPr>
        <w:t>4 Technical Implementation</w:t>
      </w:r>
    </w:p>
    <w:p>
      <w:pPr>
        <w:keepNext/>
        <w:spacing w:after="160" w:line="278" w:lineRule="auto"/>
      </w:pPr>
      <w:r>
        <w:rPr>
          <w:rFonts w:ascii="Times New Roman" w:hAnsi="Times New Roman"/>
          <w:b/>
          <w:color w:val="000000"/>
          <w:sz w:val="24"/>
        </w:rPr>
        <w:t>4.1 Tools and technologies used</w:t>
      </w:r>
    </w:p>
    <w:p>
      <w:pPr>
        <w:keepNext w:val="0"/>
        <w:spacing w:after="160" w:line="278" w:lineRule="auto"/>
      </w:pPr>
      <w:r>
        <w:rPr>
          <w:rFonts w:ascii="Times New Roman" w:hAnsi="Times New Roman"/>
          <w:b w:val="0"/>
          <w:color w:val="000000"/>
          <w:sz w:val="24"/>
        </w:rPr>
        <w:t>The application uses C++17, CMake, GLFW 3.4, the GLAD loader included with GLFW, GLM 1.0.1 and Dear ImGui 1.91.8. Dependencies are included as source and build with the project. Scene shaders use GLSL 330 core. On the test Mac, the driver provides an OpenGL 4.1 core context while the application uses the required 3.3 feature set.</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04"/>
        <w:gridCol w:w="7056"/>
      </w:tblGrid>
      <w:tr>
        <w:trPr>
          <w:cantSplit/>
          <w:tblHeader/>
        </w:trPr>
        <w:tc>
          <w:tcPr>
            <w:tcW w:type="dxa" w:w="2304"/>
          </w:tcPr>
          <w:p>
            <w:pPr>
              <w:spacing w:after="100" w:before="60"/>
            </w:pPr>
            <w:r>
              <w:rPr>
                <w:rFonts w:ascii="Times New Roman" w:hAnsi="Times New Roman"/>
                <w:b/>
                <w:sz w:val="24"/>
              </w:rPr>
              <w:t>Module</w:t>
            </w:r>
          </w:p>
        </w:tc>
        <w:tc>
          <w:tcPr>
            <w:tcW w:type="dxa" w:w="7056"/>
          </w:tcPr>
          <w:p>
            <w:pPr>
              <w:spacing w:after="100" w:before="60"/>
            </w:pPr>
            <w:r>
              <w:rPr>
                <w:rFonts w:ascii="Times New Roman" w:hAnsi="Times New Roman"/>
                <w:b/>
                <w:sz w:val="24"/>
              </w:rPr>
              <w:t>Responsibility</w:t>
            </w:r>
          </w:p>
        </w:tc>
      </w:tr>
      <w:tr>
        <w:trPr>
          <w:cantSplit/>
        </w:trPr>
        <w:tc>
          <w:tcPr>
            <w:tcW w:type="dxa" w:w="2304"/>
          </w:tcPr>
          <w:p>
            <w:pPr>
              <w:spacing w:after="100" w:before="60"/>
            </w:pPr>
            <w:r>
              <w:rPr>
                <w:rFonts w:ascii="Times New Roman" w:hAnsi="Times New Roman"/>
                <w:b w:val="0"/>
                <w:sz w:val="24"/>
              </w:rPr>
              <w:t>main</w:t>
            </w:r>
          </w:p>
        </w:tc>
        <w:tc>
          <w:tcPr>
            <w:tcW w:type="dxa" w:w="7056"/>
          </w:tcPr>
          <w:p>
            <w:pPr>
              <w:spacing w:after="100" w:before="60"/>
            </w:pPr>
            <w:r>
              <w:rPr>
                <w:rFonts w:ascii="Times New Roman" w:hAnsi="Times New Roman"/>
                <w:b w:val="0"/>
                <w:sz w:val="24"/>
              </w:rPr>
              <w:t>Window/context, input, elapsed time, render order, capture and frame logs.</w:t>
            </w:r>
          </w:p>
        </w:tc>
      </w:tr>
      <w:tr>
        <w:trPr>
          <w:cantSplit/>
        </w:trPr>
        <w:tc>
          <w:tcPr>
            <w:tcW w:type="dxa" w:w="2304"/>
          </w:tcPr>
          <w:p>
            <w:pPr>
              <w:spacing w:after="100" w:before="60"/>
            </w:pPr>
            <w:r>
              <w:rPr>
                <w:rFonts w:ascii="Times New Roman" w:hAnsi="Times New Roman"/>
                <w:b w:val="0"/>
                <w:sz w:val="24"/>
              </w:rPr>
              <w:t>Shader / Mesh / Texture</w:t>
            </w:r>
          </w:p>
        </w:tc>
        <w:tc>
          <w:tcPr>
            <w:tcW w:type="dxa" w:w="7056"/>
          </w:tcPr>
          <w:p>
            <w:pPr>
              <w:spacing w:after="100" w:before="60"/>
            </w:pPr>
            <w:r>
              <w:rPr>
                <w:rFonts w:ascii="Times New Roman" w:hAnsi="Times New Roman"/>
                <w:b w:val="0"/>
                <w:sz w:val="24"/>
              </w:rPr>
              <w:t>Compile and link GLSL, own VAO/VBO/EBO resources, upload geometry once, generate the concrete texture and mip chain.</w:t>
            </w:r>
          </w:p>
        </w:tc>
      </w:tr>
      <w:tr>
        <w:trPr>
          <w:cantSplit/>
        </w:trPr>
        <w:tc>
          <w:tcPr>
            <w:tcW w:type="dxa" w:w="2304"/>
          </w:tcPr>
          <w:p>
            <w:pPr>
              <w:spacing w:after="100" w:before="60"/>
            </w:pPr>
            <w:r>
              <w:rPr>
                <w:rFonts w:ascii="Times New Roman" w:hAnsi="Times New Roman"/>
                <w:b w:val="0"/>
                <w:sz w:val="24"/>
              </w:rPr>
              <w:t>Mission / Camera</w:t>
            </w:r>
          </w:p>
        </w:tc>
        <w:tc>
          <w:tcPr>
            <w:tcW w:type="dxa" w:w="7056"/>
          </w:tcPr>
          <w:p>
            <w:pPr>
              <w:spacing w:after="100" w:before="60"/>
            </w:pPr>
            <w:r>
              <w:rPr>
                <w:rFonts w:ascii="Times New Roman" w:hAnsi="Times New Roman"/>
                <w:b w:val="0"/>
                <w:sz w:val="24"/>
              </w:rPr>
              <w:t>Mission state, altitude, booster transforms, orbit/chase viewing and ignition shake.</w:t>
            </w:r>
          </w:p>
        </w:tc>
      </w:tr>
      <w:tr>
        <w:trPr>
          <w:cantSplit/>
        </w:trPr>
        <w:tc>
          <w:tcPr>
            <w:tcW w:type="dxa" w:w="2304"/>
          </w:tcPr>
          <w:p>
            <w:pPr>
              <w:spacing w:after="100" w:before="60"/>
            </w:pPr>
            <w:r>
              <w:rPr>
                <w:rFonts w:ascii="Times New Roman" w:hAnsi="Times New Roman"/>
                <w:b w:val="0"/>
                <w:sz w:val="24"/>
              </w:rPr>
              <w:t>Scene / Particles</w:t>
            </w:r>
          </w:p>
        </w:tc>
        <w:tc>
          <w:tcPr>
            <w:tcW w:type="dxa" w:w="7056"/>
          </w:tcPr>
          <w:p>
            <w:pPr>
              <w:spacing w:after="100" w:before="60"/>
            </w:pPr>
            <w:r>
              <w:rPr>
                <w:rFonts w:ascii="Times New Roman" w:hAnsi="Times New Roman"/>
                <w:b w:val="0"/>
                <w:sz w:val="24"/>
              </w:rPr>
              <w:t>Terrain and scenery, rocket hierarchy, particle lifetime updates and instanced billboard passes.</w:t>
            </w:r>
          </w:p>
        </w:tc>
      </w:tr>
      <w:tr>
        <w:trPr>
          <w:cantSplit/>
        </w:trPr>
        <w:tc>
          <w:tcPr>
            <w:tcW w:type="dxa" w:w="2304"/>
          </w:tcPr>
          <w:p>
            <w:pPr>
              <w:spacing w:after="100" w:before="60"/>
            </w:pPr>
            <w:r>
              <w:rPr>
                <w:rFonts w:ascii="Times New Roman" w:hAnsi="Times New Roman"/>
                <w:b w:val="0"/>
                <w:sz w:val="24"/>
              </w:rPr>
              <w:t>UI / RenderTarget</w:t>
            </w:r>
          </w:p>
        </w:tc>
        <w:tc>
          <w:tcPr>
            <w:tcW w:type="dxa" w:w="7056"/>
          </w:tcPr>
          <w:p>
            <w:pPr>
              <w:spacing w:after="100" w:before="60"/>
            </w:pPr>
            <w:r>
              <w:rPr>
                <w:rFonts w:ascii="Times New Roman" w:hAnsi="Times New Roman"/>
                <w:b w:val="0"/>
                <w:sz w:val="24"/>
              </w:rPr>
              <w:t>Controls, telemetry and captions; fixed-resolution recording target displayed in the application window.</w:t>
            </w:r>
          </w:p>
        </w:tc>
      </w:tr>
    </w:tbl>
    <w:p>
      <w:pPr>
        <w:keepNext w:val="0"/>
        <w:spacing w:after="160" w:line="278" w:lineRule="auto"/>
      </w:pPr>
      <w:r>
        <w:rPr>
          <w:rFonts w:ascii="Times New Roman" w:hAnsi="Times New Roman"/>
          <w:b w:val="0"/>
          <w:color w:val="000000"/>
          <w:sz w:val="24"/>
        </w:rPr>
      </w:r>
    </w:p>
    <w:p>
      <w:pPr>
        <w:keepNext/>
        <w:spacing w:after="160" w:line="278" w:lineRule="auto"/>
      </w:pPr>
      <w:r>
        <w:rPr>
          <w:rFonts w:ascii="Times New Roman" w:hAnsi="Times New Roman"/>
          <w:b/>
          <w:color w:val="000000"/>
          <w:sz w:val="24"/>
        </w:rPr>
        <w:t>4.2 Development process</w:t>
      </w:r>
    </w:p>
    <w:p>
      <w:pPr>
        <w:keepNext w:val="0"/>
        <w:spacing w:after="160" w:line="278" w:lineRule="auto"/>
      </w:pPr>
      <w:r>
        <w:rPr>
          <w:rFonts w:ascii="Times New Roman" w:hAnsi="Times New Roman"/>
          <w:b w:val="0"/>
          <w:color w:val="000000"/>
          <w:sz w:val="24"/>
        </w:rPr>
        <w:t>Development proceeded through a buildable pipeline, primitive geometry, mission transforms, lighting and textures, particles, interaction, visual validation and documentation. Automated tests isolate the simulation from the graphics context. Render captures check behavior that numerical tests cannot establish, including transparency, camera composition and UI placement.</w:t>
      </w:r>
    </w:p>
    <w:p>
      <w:pPr>
        <w:keepNext w:val="0"/>
        <w:spacing w:after="160" w:line="278" w:lineRule="auto"/>
      </w:pPr>
      <w:r>
        <w:rPr>
          <w:rFonts w:ascii="Times New Roman" w:hAnsi="Times New Roman"/>
          <w:b w:val="0"/>
          <w:color w:val="000000"/>
          <w:sz w:val="24"/>
        </w:rPr>
        <w:t>The initial implementation and documents received substantial AI assistance, detailed in Section 9. The package does not claim that the four students independently wrote particular modules or maintained a multiweek commit history. Proposed review and speaking ownership appears in the appendix. Members must record their actual review, changes and test results in genuine commits before submission.</w:t>
      </w:r>
    </w:p>
    <w:p>
      <w:r>
        <w:br w:type="page"/>
      </w:r>
    </w:p>
    <w:p>
      <w:pPr>
        <w:keepNext/>
        <w:spacing w:after="160" w:line="278" w:lineRule="auto"/>
      </w:pPr>
      <w:r>
        <w:rPr>
          <w:rFonts w:ascii="Times New Roman" w:hAnsi="Times New Roman"/>
          <w:b/>
          <w:color w:val="000000"/>
          <w:sz w:val="24"/>
        </w:rPr>
        <w:t>4.3 Algorithms and mathematical model</w:t>
      </w:r>
    </w:p>
    <w:p>
      <w:pPr>
        <w:keepNext/>
        <w:spacing w:after="160" w:line="278" w:lineRule="auto"/>
      </w:pPr>
      <w:r>
        <w:rPr>
          <w:rFonts w:ascii="Times New Roman" w:hAnsi="Times New Roman"/>
          <w:b/>
          <w:color w:val="000000"/>
          <w:sz w:val="24"/>
        </w:rPr>
        <w:t>Transformation pipeline and hierarchy</w:t>
      </w:r>
    </w:p>
    <w:p>
      <w:pPr>
        <w:keepNext w:val="0"/>
        <w:spacing w:after="160" w:line="278" w:lineRule="auto"/>
        <w:jc w:val="center"/>
      </w:pPr>
      <w:r>
        <w:rPr>
          <w:rFonts w:ascii="Times New Roman" w:hAnsi="Times New Roman"/>
          <w:b w:val="0"/>
          <w:color w:val="000000"/>
          <w:sz w:val="24"/>
        </w:rPr>
      </w:r>
      <m:oMath>
        <m:sSub>
          <m:e>
            <m:r>
              <m:t>p</m:t>
            </m:r>
          </m:e>
          <m:sub>
            <m:r>
              <m:t>clip</m:t>
            </m:r>
          </m:sub>
        </m:sSub>
        <m:r>
          <m:t> = P V </m:t>
        </m:r>
        <m:sSub>
          <m:e>
            <m:r>
              <m:t>M</m:t>
            </m:r>
          </m:e>
          <m:sub>
            <m:r>
              <m:t>parent</m:t>
            </m:r>
          </m:sub>
        </m:sSub>
        <m:r>
          <m:t> </m:t>
        </m:r>
        <m:sSub>
          <m:e>
            <m:r>
              <m:t>M</m:t>
            </m:r>
          </m:e>
          <m:sub>
            <m:r>
              <m:t>local</m:t>
            </m:r>
          </m:sub>
        </m:sSub>
        <m:r>
          <m:t> </m:t>
        </m:r>
        <m:sSub>
          <m:e>
            <m:r>
              <m:t>p</m:t>
            </m:r>
          </m:e>
          <m:sub>
            <m:r>
              <m:t>object</m:t>
            </m:r>
          </m:sub>
        </m:sSub>
      </m:oMath>
    </w:p>
    <w:p>
      <w:pPr>
        <w:keepNext w:val="0"/>
        <w:spacing w:after="160" w:line="278" w:lineRule="auto"/>
      </w:pPr>
      <w:r>
        <w:rPr>
          <w:rFonts w:ascii="Times New Roman" w:hAnsi="Times New Roman"/>
          <w:b w:val="0"/>
          <w:color w:val="000000"/>
          <w:sz w:val="24"/>
        </w:rPr>
        <w:t>The application uses column vectors. Local scaling shapes each primitive, local translation positions it, and the rocket parent applies ascent. The view matrix comes from the camera eye, target and up vector. A perspective projection uses a 48 degree vertical field of view, the framebuffer aspect ratio, a 0.1 near plane and a 20,000 far plane.</w:t>
      </w:r>
    </w:p>
    <w:p>
      <w:pPr>
        <w:keepNext w:val="0"/>
        <w:spacing w:after="160" w:line="278" w:lineRule="auto"/>
        <w:jc w:val="center"/>
      </w:pPr>
      <w:r>
        <w:rPr>
          <w:rFonts w:ascii="Times New Roman" w:hAnsi="Times New Roman"/>
          <w:b w:val="0"/>
          <w:color w:val="000000"/>
          <w:sz w:val="24"/>
        </w:rPr>
      </w:r>
      <m:oMath>
        <m:sSub>
          <m:e>
            <m:r>
              <m:t>n</m:t>
            </m:r>
          </m:e>
          <m:sub>
            <m:r>
              <m:t>world</m:t>
            </m:r>
          </m:sub>
        </m:sSub>
        <m:r>
          <m:t> = normalize(transpose(inverse(mat3(M))) </m:t>
        </m:r>
        <m:sSub>
          <m:e>
            <m:r>
              <m:t>n</m:t>
            </m:r>
          </m:e>
          <m:sub>
            <m:r>
              <m:t>object</m:t>
            </m:r>
          </m:sub>
        </m:sSub>
        <m:r>
          <m:t>)</m:t>
        </m:r>
      </m:oMath>
    </w:p>
    <w:p>
      <w:pPr>
        <w:keepNext w:val="0"/>
        <w:spacing w:after="160" w:line="278" w:lineRule="auto"/>
      </w:pPr>
      <w:r>
        <w:rPr>
          <w:rFonts w:ascii="Times New Roman" w:hAnsi="Times New Roman"/>
          <w:b w:val="0"/>
          <w:color w:val="000000"/>
          <w:sz w:val="24"/>
        </w:rPr>
        <w:t>The normal matrix preserves perpendicularity under nonuniform scaling. Interpolated normals are normalized again in the fragment shader. Mesh UVs and world positions pass from the vertex stage to fragment evaluation.</w:t>
      </w:r>
    </w:p>
    <w:p>
      <w:pPr>
        <w:keepNext/>
        <w:spacing w:after="160" w:line="278" w:lineRule="auto"/>
      </w:pPr>
      <w:r>
        <w:rPr>
          <w:rFonts w:ascii="Times New Roman" w:hAnsi="Times New Roman"/>
          <w:b/>
          <w:color w:val="000000"/>
          <w:sz w:val="24"/>
        </w:rPr>
        <w:t>Mission and booster motion</w:t>
      </w:r>
    </w:p>
    <w:p>
      <w:pPr>
        <w:keepNext w:val="0"/>
        <w:spacing w:after="160" w:line="278" w:lineRule="auto"/>
        <w:jc w:val="center"/>
      </w:pPr>
      <w:r>
        <w:rPr>
          <w:rFonts w:ascii="Times New Roman" w:hAnsi="Times New Roman"/>
          <w:b w:val="0"/>
          <w:color w:val="000000"/>
          <w:sz w:val="24"/>
        </w:rPr>
      </w:r>
      <m:oMath>
        <m:sSup>
          <m:e>
            <m:r>
              <m:t>h(t) = 0.55 max(t, 0)</m:t>
            </m:r>
          </m:e>
          <m:sup>
            <m:r>
              <m:t>2</m:t>
            </m:r>
          </m:sup>
        </m:sSup>
        <m:r>
          <m:t> ;   v(t) = 1.1 max(t, 0)</m:t>
        </m:r>
      </m:oMath>
    </w:p>
    <w:p>
      <w:pPr>
        <w:keepNext w:val="0"/>
        <w:spacing w:after="160" w:line="278" w:lineRule="auto"/>
      </w:pPr>
      <w:r>
        <w:rPr>
          <w:rFonts w:ascii="Times New Roman" w:hAnsi="Times New Roman"/>
          <w:b w:val="0"/>
          <w:color w:val="000000"/>
          <w:sz w:val="24"/>
        </w:rPr>
        <w:t>The mission clock begins at -8 seconds. At separation time ts, each booster preserves its world position and initial upward velocity. For elapsed time u = t - ts, radial distance grows as 1.72 + 1.8u and vertical position becomes 3.8 + h(ts) + 1.1tsu - 1.8u². Rotation increases at 0.35u radians. Continuity at u = 0 is checked by an automated matrix comparison.</w:t>
      </w:r>
    </w:p>
    <w:p>
      <w:pPr>
        <w:keepNext/>
        <w:spacing w:after="160" w:line="278" w:lineRule="auto"/>
      </w:pPr>
      <w:r>
        <w:rPr>
          <w:rFonts w:ascii="Times New Roman" w:hAnsi="Times New Roman"/>
          <w:b/>
          <w:color w:val="000000"/>
          <w:sz w:val="24"/>
        </w:rPr>
        <w:t>Particle lifecycle and rendering order</w:t>
      </w:r>
    </w:p>
    <w:p>
      <w:pPr>
        <w:keepNext w:val="0"/>
        <w:spacing w:after="160" w:line="278" w:lineRule="auto"/>
      </w:pPr>
      <w:r>
        <w:rPr>
          <w:rFonts w:ascii="Times New Roman" w:hAnsi="Times New Roman"/>
          <w:b w:val="0"/>
          <w:color w:val="000000"/>
          <w:sz w:val="24"/>
        </w:rPr>
        <w:t>Each particle stores position, velocity, age, lifetime, size and material type. Age increases by elapsed time and expired particles are removed. An emission accumulator generates 700 particles per simulation second with a persistent 2:1 fire-to-smoke ratio. The pool is capped at 3,600. Static quad data uploads once; a compact per-instance position/size and color buffer updates each frame.</w:t>
      </w:r>
    </w:p>
    <w:p>
      <w:pPr>
        <w:keepNext w:val="0"/>
        <w:spacing w:after="160" w:line="278" w:lineRule="auto"/>
      </w:pPr>
      <w:r>
        <w:rPr>
          <w:rFonts w:ascii="Times New Roman" w:hAnsi="Times New Roman"/>
          <w:b w:val="0"/>
          <w:color w:val="000000"/>
          <w:sz w:val="24"/>
        </w:rPr>
        <w:t>The frame order is sky, opaque geometry, sorted smoke, additive fire and UI. Smoke sorts back to front using camera distance and blends with source alpha. Fire uses additive blending. Both particle passes keep depth testing against opaque geometry and disable depth writes. A soft radial fragment mask removes the square billboard boundary.</w:t>
      </w:r>
    </w:p>
    <w:p>
      <w:r>
        <w:br w:type="page"/>
      </w:r>
    </w:p>
    <w:p>
      <w:pPr>
        <w:keepNext/>
        <w:spacing w:after="160" w:line="278" w:lineRule="auto"/>
      </w:pPr>
      <w:r>
        <w:rPr>
          <w:rFonts w:ascii="Times New Roman" w:hAnsi="Times New Roman"/>
          <w:b/>
          <w:color w:val="000000"/>
          <w:sz w:val="24"/>
        </w:rPr>
        <w:t>5 Graphics and Rendering</w:t>
      </w:r>
    </w:p>
    <w:p>
      <w:pPr>
        <w:keepNext/>
        <w:spacing w:after="160" w:line="278" w:lineRule="auto"/>
      </w:pPr>
      <w:r>
        <w:rPr>
          <w:rFonts w:ascii="Times New Roman" w:hAnsi="Times New Roman"/>
          <w:b/>
          <w:color w:val="000000"/>
          <w:sz w:val="24"/>
        </w:rPr>
        <w:t>5.1 Scene construction and lighting</w:t>
      </w:r>
    </w:p>
    <w:p>
      <w:pPr>
        <w:keepNext/>
        <w:spacing w:after="160" w:line="278"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day.png"/>
                    <pic:cNvPicPr/>
                  </pic:nvPicPr>
                  <pic:blipFill>
                    <a:blip r:embed="rId14"/>
                    <a:stretch>
                      <a:fillRect/>
                    </a:stretch>
                  </pic:blipFill>
                  <pic:spPr>
                    <a:xfrm>
                      <a:off x="0" y="0"/>
                      <a:ext cx="5029200" cy="2828925"/>
                    </a:xfrm>
                    <a:prstGeom prst="rect"/>
                  </pic:spPr>
                </pic:pic>
              </a:graphicData>
            </a:graphic>
          </wp:inline>
        </w:drawing>
      </w:r>
    </w:p>
    <w:p>
      <w:pPr>
        <w:keepNext w:val="0"/>
        <w:spacing w:after="160" w:line="278" w:lineRule="auto"/>
        <w:jc w:val="center"/>
      </w:pPr>
      <w:r>
        <w:rPr>
          <w:rFonts w:ascii="Times New Roman" w:hAnsi="Times New Roman"/>
          <w:b w:val="0"/>
          <w:color w:val="000000"/>
          <w:sz w:val="24"/>
        </w:rPr>
        <w:t>Fig. 1 Launch complex with procedural geometry and live telemetry</w:t>
      </w:r>
    </w:p>
    <w:p>
      <w:pPr>
        <w:keepNext w:val="0"/>
        <w:spacing w:after="160" w:line="278" w:lineRule="auto"/>
      </w:pPr>
      <w:r>
        <w:rPr>
          <w:rFonts w:ascii="Times New Roman" w:hAnsi="Times New Roman"/>
          <w:b w:val="0"/>
          <w:color w:val="000000"/>
          <w:sz w:val="24"/>
        </w:rPr>
        <w:t>Figure 1 shows the rocket and gantry beside the ribbed hangar, fuel farm, pipework, vehicles and railway. Shared primitive meshes form these objects. Kazakhstan terrain uses a projected Natural Earth boundary with concave triangulation and solid side walls (Appendix B).</w:t>
      </w:r>
    </w:p>
    <w:p>
      <w:pPr>
        <w:keepNext/>
        <w:spacing w:after="160" w:line="278"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night.png"/>
                    <pic:cNvPicPr/>
                  </pic:nvPicPr>
                  <pic:blipFill>
                    <a:blip r:embed="rId15"/>
                    <a:stretch>
                      <a:fillRect/>
                    </a:stretch>
                  </pic:blipFill>
                  <pic:spPr>
                    <a:xfrm>
                      <a:off x="0" y="0"/>
                      <a:ext cx="5029200" cy="2828925"/>
                    </a:xfrm>
                    <a:prstGeom prst="rect"/>
                  </pic:spPr>
                </pic:pic>
              </a:graphicData>
            </a:graphic>
          </wp:inline>
        </w:drawing>
      </w:r>
    </w:p>
    <w:p>
      <w:pPr>
        <w:keepNext w:val="0"/>
        <w:spacing w:after="160" w:line="278" w:lineRule="auto"/>
        <w:jc w:val="center"/>
      </w:pPr>
      <w:r>
        <w:rPr>
          <w:rFonts w:ascii="Times New Roman" w:hAnsi="Times New Roman"/>
          <w:b w:val="0"/>
          <w:color w:val="000000"/>
          <w:sz w:val="24"/>
        </w:rPr>
        <w:t>Fig. 2 Night lighting with the toggled gantry point light</w:t>
      </w:r>
    </w:p>
    <w:p>
      <w:pPr>
        <w:keepNext w:val="0"/>
        <w:spacing w:after="160" w:line="278" w:lineRule="auto"/>
      </w:pPr>
      <w:r>
        <w:rPr>
          <w:rFonts w:ascii="Times New Roman" w:hAnsi="Times New Roman"/>
          <w:b w:val="0"/>
          <w:color w:val="000000"/>
          <w:sz w:val="24"/>
        </w:rPr>
        <w:t>Figure 2 shows the scene under a different lighting mode. The renderer combines a directional sun, a blue gantry point light and an orange engine point light. The engine light follows the rocket during ascent.</w:t>
      </w:r>
    </w:p>
    <w:p>
      <w:r>
        <w:br w:type="page"/>
      </w:r>
    </w:p>
    <w:p>
      <w:pPr>
        <w:keepNext/>
        <w:spacing w:after="160" w:line="278" w:lineRule="auto"/>
      </w:pPr>
      <w:r>
        <w:rPr>
          <w:rFonts w:ascii="Times New Roman" w:hAnsi="Times New Roman"/>
          <w:b/>
          <w:color w:val="000000"/>
          <w:sz w:val="24"/>
        </w:rPr>
        <w:t>5.2 Shading and texture sampling</w:t>
      </w:r>
    </w:p>
    <w:p>
      <w:pPr>
        <w:keepNext w:val="0"/>
        <w:spacing w:after="160" w:line="278" w:lineRule="auto"/>
        <w:jc w:val="center"/>
      </w:pPr>
      <w:r>
        <w:rPr>
          <w:rFonts w:ascii="Times New Roman" w:hAnsi="Times New Roman"/>
          <w:b w:val="0"/>
          <w:color w:val="000000"/>
          <w:sz w:val="24"/>
        </w:rPr>
      </w:r>
      <m:oMath>
        <m:r>
          <m:t>I = </m:t>
        </m:r>
        <m:sSub>
          <m:e>
            <m:r>
              <m:t>k</m:t>
            </m:r>
          </m:e>
          <m:sub>
            <m:r>
              <m:t>a</m:t>
            </m:r>
          </m:sub>
        </m:sSub>
        <m:r>
          <m:t> C + </m:t>
        </m:r>
        <m:sSub>
          <m:e>
            <m:r>
              <m:t>Σ</m:t>
            </m:r>
          </m:e>
          <m:sub>
            <m:r>
              <m:t>j</m:t>
            </m:r>
          </m:sub>
        </m:sSub>
        <m:r>
          <m:t> </m:t>
        </m:r>
        <m:sSub>
          <m:e>
            <m:r>
              <m:t>A</m:t>
            </m:r>
          </m:e>
          <m:sub>
            <m:r>
              <m:t>j</m:t>
            </m:r>
          </m:sub>
        </m:sSub>
        <m:r>
          <m:t> </m:t>
        </m:r>
        <m:sSub>
          <m:e>
            <m:r>
              <m:t>L</m:t>
            </m:r>
          </m:e>
          <m:sub>
            <m:r>
              <m:t>j</m:t>
            </m:r>
          </m:sub>
        </m:sSub>
        <m:r>
          <m:t> [C max(N · L,0) + </m:t>
        </m:r>
        <m:sSub>
          <m:e>
            <m:r>
              <m:t>k</m:t>
            </m:r>
          </m:e>
          <m:sub>
            <m:r>
              <m:t>s</m:t>
            </m:r>
          </m:sub>
        </m:sSub>
        <m:sSup>
          <m:e>
            <m:r>
              <m:t> max(N · H,0)</m:t>
            </m:r>
          </m:e>
          <m:sup>
            <m:r>
              <m:t>s</m:t>
            </m:r>
          </m:sup>
        </m:sSup>
        <m:r>
          <m:t>]</m:t>
        </m:r>
      </m:oMath>
    </w:p>
    <w:p>
      <w:pPr>
        <w:keepNext w:val="0"/>
        <w:spacing w:after="160" w:line="278" w:lineRule="auto"/>
      </w:pPr>
      <w:r>
        <w:rPr>
          <w:rFonts w:ascii="Times New Roman" w:hAnsi="Times New Roman"/>
          <w:b w:val="0"/>
          <w:color w:val="000000"/>
          <w:sz w:val="24"/>
        </w:rPr>
        <w:t>Here C is the surface color, H is the normalized sum of light and view directions, s is shininess, and A is point-light attenuation. Specular contribution is zero when the light lies behind the surface. The shader adds emission for selected lamps and applies a display gamma approximation after shading.</w:t>
      </w:r>
    </w:p>
    <w:p>
      <w:pPr>
        <w:keepNext/>
        <w:spacing w:after="160" w:line="278"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4572000" cy="2571750"/>
                    </a:xfrm>
                    <a:prstGeom prst="rect"/>
                  </pic:spPr>
                </pic:pic>
              </a:graphicData>
            </a:graphic>
          </wp:inline>
        </w:drawing>
      </w:r>
    </w:p>
    <w:p>
      <w:pPr>
        <w:keepNext w:val="0"/>
        <w:spacing w:after="160" w:line="278" w:lineRule="auto"/>
        <w:jc w:val="center"/>
      </w:pPr>
      <w:r>
        <w:rPr>
          <w:rFonts w:ascii="Times New Roman" w:hAnsi="Times New Roman"/>
          <w:b w:val="0"/>
          <w:color w:val="000000"/>
          <w:sz w:val="24"/>
        </w:rPr>
        <w:t>Fig. 3 Wireframe mode exposes indexed triangles in the scene</w:t>
      </w:r>
    </w:p>
    <w:p>
      <w:pPr>
        <w:keepNext w:val="0"/>
        <w:spacing w:after="160" w:line="278" w:lineRule="auto"/>
      </w:pPr>
      <w:r>
        <w:rPr>
          <w:rFonts w:ascii="Times New Roman" w:hAnsi="Times New Roman"/>
          <w:b w:val="0"/>
          <w:color w:val="000000"/>
          <w:sz w:val="24"/>
        </w:rPr>
        <w:t>Figure 3 exposes triangle topology. Wireframe mode draws unique edges with GL_LINES. Both modes use VAOs, vertex buffers and element buffers, with no fixed-function drawing calls.</w:t>
      </w:r>
    </w:p>
    <w:p>
      <w:pPr>
        <w:keepNext/>
        <w:spacing w:after="160" w:line="278"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texture.png"/>
                    <pic:cNvPicPr/>
                  </pic:nvPicPr>
                  <pic:blipFill>
                    <a:blip r:embed="rId17"/>
                    <a:stretch>
                      <a:fillRect/>
                    </a:stretch>
                  </pic:blipFill>
                  <pic:spPr>
                    <a:xfrm>
                      <a:off x="0" y="0"/>
                      <a:ext cx="4572000" cy="2571750"/>
                    </a:xfrm>
                    <a:prstGeom prst="rect"/>
                  </pic:spPr>
                </pic:pic>
              </a:graphicData>
            </a:graphic>
          </wp:inline>
        </w:drawing>
      </w:r>
    </w:p>
    <w:p>
      <w:pPr>
        <w:keepNext w:val="0"/>
        <w:spacing w:after="160" w:line="278" w:lineRule="auto"/>
        <w:jc w:val="center"/>
      </w:pPr>
      <w:r>
        <w:rPr>
          <w:rFonts w:ascii="Times New Roman" w:hAnsi="Times New Roman"/>
          <w:b w:val="0"/>
          <w:color w:val="000000"/>
          <w:sz w:val="24"/>
        </w:rPr>
        <w:t>Fig. 4 Repeating concrete UVs and procedural steppe detail</w:t>
      </w:r>
    </w:p>
    <w:p>
      <w:pPr>
        <w:keepNext w:val="0"/>
        <w:spacing w:after="160" w:line="278" w:lineRule="auto"/>
      </w:pPr>
      <w:r>
        <w:rPr>
          <w:rFonts w:ascii="Times New Roman" w:hAnsi="Times New Roman"/>
          <w:b w:val="0"/>
          <w:color w:val="000000"/>
          <w:sz w:val="24"/>
        </w:rPr>
        <w:t>Figure 4 shows the concrete pad with a deterministic 1024 by 1024 RGB texture. The sampler repeats UVs, uses linear magnification and trilinear mipmapped minification. The steppe uses a separate low-frequency shader pattern. The concrete grid is a stylized material and does not preserve a fixed real-world slab size across differently scaled objects.</w:t>
      </w:r>
    </w:p>
    <w:p>
      <w:r>
        <w:br w:type="page"/>
      </w:r>
    </w:p>
    <w:p>
      <w:pPr>
        <w:keepNext/>
        <w:spacing w:after="160" w:line="278" w:lineRule="auto"/>
      </w:pPr>
      <w:r>
        <w:rPr>
          <w:rFonts w:ascii="Times New Roman" w:hAnsi="Times New Roman"/>
          <w:b/>
          <w:color w:val="000000"/>
          <w:sz w:val="24"/>
        </w:rPr>
        <w:t>5.3 Particle animation and separation</w:t>
      </w:r>
    </w:p>
    <w:p>
      <w:pPr>
        <w:keepNext/>
        <w:spacing w:after="160" w:line="278"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ignition.png"/>
                    <pic:cNvPicPr/>
                  </pic:nvPicPr>
                  <pic:blipFill>
                    <a:blip r:embed="rId18"/>
                    <a:stretch>
                      <a:fillRect/>
                    </a:stretch>
                  </pic:blipFill>
                  <pic:spPr>
                    <a:xfrm>
                      <a:off x="0" y="0"/>
                      <a:ext cx="5029200" cy="2828925"/>
                    </a:xfrm>
                    <a:prstGeom prst="rect"/>
                  </pic:spPr>
                </pic:pic>
              </a:graphicData>
            </a:graphic>
          </wp:inline>
        </w:drawing>
      </w:r>
    </w:p>
    <w:p>
      <w:pPr>
        <w:keepNext w:val="0"/>
        <w:spacing w:after="160" w:line="278" w:lineRule="auto"/>
        <w:jc w:val="center"/>
      </w:pPr>
      <w:r>
        <w:rPr>
          <w:rFonts w:ascii="Times New Roman" w:hAnsi="Times New Roman"/>
          <w:b w:val="0"/>
          <w:color w:val="000000"/>
          <w:sz w:val="24"/>
        </w:rPr>
        <w:t>Fig. 5 Ignition combines fire, smoke and a moving engine light</w:t>
      </w:r>
    </w:p>
    <w:p>
      <w:pPr>
        <w:keepNext w:val="0"/>
        <w:spacing w:after="160" w:line="278" w:lineRule="auto"/>
      </w:pPr>
      <w:r>
        <w:rPr>
          <w:rFonts w:ascii="Times New Roman" w:hAnsi="Times New Roman"/>
          <w:b w:val="0"/>
          <w:color w:val="000000"/>
          <w:sz w:val="24"/>
        </w:rPr>
        <w:t>Figure 5 shows warm additive flame and expanding translucent smoke. Ignition also applies a short, decaying camera offset. The K key disables that motion. Pause freezes the mission and particles while allowing independent camera movement.</w:t>
      </w:r>
    </w:p>
    <w:p>
      <w:pPr>
        <w:keepNext/>
        <w:spacing w:after="160" w:line="278"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separation.png"/>
                    <pic:cNvPicPr/>
                  </pic:nvPicPr>
                  <pic:blipFill>
                    <a:blip r:embed="rId19"/>
                    <a:stretch>
                      <a:fillRect/>
                    </a:stretch>
                  </pic:blipFill>
                  <pic:spPr>
                    <a:xfrm>
                      <a:off x="0" y="0"/>
                      <a:ext cx="5029200" cy="2828925"/>
                    </a:xfrm>
                    <a:prstGeom prst="rect"/>
                  </pic:spPr>
                </pic:pic>
              </a:graphicData>
            </a:graphic>
          </wp:inline>
        </w:drawing>
      </w:r>
    </w:p>
    <w:p>
      <w:pPr>
        <w:keepNext w:val="0"/>
        <w:spacing w:after="160" w:line="278" w:lineRule="auto"/>
        <w:jc w:val="center"/>
      </w:pPr>
      <w:r>
        <w:rPr>
          <w:rFonts w:ascii="Times New Roman" w:hAnsi="Times New Roman"/>
          <w:b w:val="0"/>
          <w:color w:val="000000"/>
          <w:sz w:val="24"/>
        </w:rPr>
        <w:t>Fig. 6 Detached boosters against the altitude-dependent star field</w:t>
      </w:r>
    </w:p>
    <w:p>
      <w:pPr>
        <w:keepNext w:val="0"/>
        <w:spacing w:after="160" w:line="278" w:lineRule="auto"/>
      </w:pPr>
      <w:r>
        <w:rPr>
          <w:rFonts w:ascii="Times New Roman" w:hAnsi="Times New Roman"/>
          <w:b w:val="0"/>
          <w:color w:val="000000"/>
          <w:sz w:val="24"/>
        </w:rPr>
        <w:t>Figure 6 shows the topic's final visual event. The shader blends the warm sky toward darkness using clamp(altitude / 450, 0, 1). A direction-based procedural star field fades in at altitude. Booster detachment switches from parent-relative motion to independent world transforms. These are artistic visual effects at compressed altitudes.</w:t>
      </w:r>
    </w:p>
    <w:p>
      <w:r>
        <w:br w:type="page"/>
      </w:r>
    </w:p>
    <w:p>
      <w:pPr>
        <w:keepNext/>
        <w:spacing w:after="160" w:line="278" w:lineRule="auto"/>
      </w:pPr>
      <w:r>
        <w:rPr>
          <w:rFonts w:ascii="Times New Roman" w:hAnsi="Times New Roman"/>
          <w:b/>
          <w:color w:val="000000"/>
          <w:sz w:val="24"/>
        </w:rPr>
        <w:t>6 Testing and Evaluation</w:t>
      </w:r>
    </w:p>
    <w:p>
      <w:pPr>
        <w:keepNext/>
        <w:spacing w:after="160" w:line="278" w:lineRule="auto"/>
      </w:pPr>
      <w:r>
        <w:rPr>
          <w:rFonts w:ascii="Times New Roman" w:hAnsi="Times New Roman"/>
          <w:b/>
          <w:color w:val="000000"/>
          <w:sz w:val="24"/>
        </w:rPr>
        <w:t>6.1 Testing methodology</w:t>
      </w:r>
    </w:p>
    <w:p>
      <w:pPr>
        <w:keepNext w:val="0"/>
        <w:spacing w:after="160" w:line="278" w:lineRule="auto"/>
      </w:pPr>
      <w:r>
        <w:rPr>
          <w:rFonts w:ascii="Times New Roman" w:hAnsi="Times New Roman"/>
          <w:b w:val="0"/>
          <w:color w:val="000000"/>
          <w:sz w:val="24"/>
        </w:rPr>
        <w:t>CTest passes both mission_invariants and kazakhstan_terrain. Mission checks cover ignition, pause/reset, ascent, separation continuity and equivalent progression at different update rates. Terrain checks cover valid indices, outward winding, nondegenerate faces, triangulation area and launch-site containment. Rendering checks compile shaders and inspect OpenGL errors. No independent student user study has been conducted.</w:t>
      </w:r>
    </w:p>
    <w:p>
      <w:pPr>
        <w:keepNext/>
        <w:spacing w:after="160" w:line="278" w:lineRule="auto"/>
      </w:pPr>
      <w:r>
        <w:rPr>
          <w:rFonts w:ascii="Times New Roman" w:hAnsi="Times New Roman"/>
          <w:b/>
          <w:color w:val="000000"/>
          <w:sz w:val="24"/>
        </w:rPr>
        <w:t>6.2 Performance evaluation</w:t>
      </w:r>
    </w:p>
    <w:p>
      <w:pPr>
        <w:keepNext w:val="0"/>
        <w:spacing w:after="160" w:line="278" w:lineRule="auto"/>
      </w:pPr>
      <w:r>
        <w:rPr>
          <w:rFonts w:ascii="Times New Roman" w:hAnsi="Times New Roman"/>
          <w:b w:val="0"/>
          <w:color w:val="000000"/>
          <w:sz w:val="24"/>
        </w:rPr>
        <w:t>Hardware: Apple M1 with 8 GiB unified memory, macOS 26.3.1. Compiler: AppleClang 21.0.0. Release build, OpenGL 4.1 Metal driver 90.5. Measurements below use 1280 by 720, four-sample window MSAA, VSync disabled and no recording. Each 12-second run excludes its first two seconds. Mean FPS is sample count divided by the sum of measured frame times; p95 reports the 95th percentile frame time.</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3456"/>
        <w:gridCol w:w="1872"/>
        <w:gridCol w:w="1728"/>
        <w:gridCol w:w="2304"/>
      </w:tblGrid>
      <w:tr>
        <w:trPr>
          <w:cantSplit/>
          <w:tblHeader/>
        </w:trPr>
        <w:tc>
          <w:tcPr>
            <w:tcW w:type="dxa" w:w="3456"/>
          </w:tcPr>
          <w:p>
            <w:pPr>
              <w:spacing w:after="100" w:before="60"/>
            </w:pPr>
            <w:r>
              <w:rPr>
                <w:rFonts w:ascii="Times New Roman" w:hAnsi="Times New Roman"/>
                <w:b/>
                <w:sz w:val="24"/>
              </w:rPr>
              <w:t>Scene</w:t>
            </w:r>
          </w:p>
        </w:tc>
        <w:tc>
          <w:tcPr>
            <w:tcW w:type="dxa" w:w="1872"/>
          </w:tcPr>
          <w:p>
            <w:pPr>
              <w:spacing w:after="100" w:before="60"/>
            </w:pPr>
            <w:r>
              <w:rPr>
                <w:rFonts w:ascii="Times New Roman" w:hAnsi="Times New Roman"/>
                <w:b/>
                <w:sz w:val="24"/>
              </w:rPr>
              <w:t>Mean FPS</w:t>
            </w:r>
          </w:p>
        </w:tc>
        <w:tc>
          <w:tcPr>
            <w:tcW w:type="dxa" w:w="1728"/>
          </w:tcPr>
          <w:p>
            <w:pPr>
              <w:spacing w:after="100" w:before="60"/>
            </w:pPr>
            <w:r>
              <w:rPr>
                <w:rFonts w:ascii="Times New Roman" w:hAnsi="Times New Roman"/>
                <w:b/>
                <w:sz w:val="24"/>
              </w:rPr>
              <w:t>p95 ms</w:t>
            </w:r>
          </w:p>
        </w:tc>
        <w:tc>
          <w:tcPr>
            <w:tcW w:type="dxa" w:w="2304"/>
          </w:tcPr>
          <w:p>
            <w:pPr>
              <w:spacing w:after="100" w:before="60"/>
            </w:pPr>
            <w:r>
              <w:rPr>
                <w:rFonts w:ascii="Times New Roman" w:hAnsi="Times New Roman"/>
                <w:b/>
                <w:sz w:val="24"/>
              </w:rPr>
              <w:t>Max particles</w:t>
            </w:r>
          </w:p>
        </w:tc>
      </w:tr>
      <w:tr>
        <w:trPr>
          <w:cantSplit/>
        </w:trPr>
        <w:tc>
          <w:tcPr>
            <w:tcW w:type="dxa" w:w="3456"/>
          </w:tcPr>
          <w:p>
            <w:pPr>
              <w:spacing w:after="100" w:before="60"/>
            </w:pPr>
            <w:r>
              <w:rPr>
                <w:rFonts w:ascii="Times New Roman" w:hAnsi="Times New Roman"/>
                <w:b w:val="0"/>
                <w:sz w:val="24"/>
              </w:rPr>
              <w:t>Ready</w:t>
            </w:r>
          </w:p>
        </w:tc>
        <w:tc>
          <w:tcPr>
            <w:tcW w:type="dxa" w:w="1872"/>
          </w:tcPr>
          <w:p>
            <w:pPr>
              <w:spacing w:after="100" w:before="60"/>
            </w:pPr>
            <w:r>
              <w:rPr>
                <w:rFonts w:ascii="Times New Roman" w:hAnsi="Times New Roman"/>
                <w:b w:val="0"/>
                <w:sz w:val="24"/>
              </w:rPr>
              <w:t>504.4</w:t>
            </w:r>
          </w:p>
        </w:tc>
        <w:tc>
          <w:tcPr>
            <w:tcW w:type="dxa" w:w="1728"/>
          </w:tcPr>
          <w:p>
            <w:pPr>
              <w:spacing w:after="100" w:before="60"/>
            </w:pPr>
            <w:r>
              <w:rPr>
                <w:rFonts w:ascii="Times New Roman" w:hAnsi="Times New Roman"/>
                <w:b w:val="0"/>
                <w:sz w:val="24"/>
              </w:rPr>
              <w:t>3.93</w:t>
            </w:r>
          </w:p>
        </w:tc>
        <w:tc>
          <w:tcPr>
            <w:tcW w:type="dxa" w:w="2304"/>
          </w:tcPr>
          <w:p>
            <w:pPr>
              <w:spacing w:after="100" w:before="60"/>
            </w:pPr>
            <w:r>
              <w:rPr>
                <w:rFonts w:ascii="Times New Roman" w:hAnsi="Times New Roman"/>
                <w:b w:val="0"/>
                <w:sz w:val="24"/>
              </w:rPr>
              <w:t>0</w:t>
            </w:r>
          </w:p>
        </w:tc>
      </w:tr>
      <w:tr>
        <w:trPr>
          <w:cantSplit/>
        </w:trPr>
        <w:tc>
          <w:tcPr>
            <w:tcW w:type="dxa" w:w="3456"/>
          </w:tcPr>
          <w:p>
            <w:pPr>
              <w:spacing w:after="100" w:before="60"/>
            </w:pPr>
            <w:r>
              <w:rPr>
                <w:rFonts w:ascii="Times New Roman" w:hAnsi="Times New Roman"/>
                <w:b w:val="0"/>
                <w:sz w:val="24"/>
              </w:rPr>
              <w:t>Ignition and ascent</w:t>
            </w:r>
          </w:p>
        </w:tc>
        <w:tc>
          <w:tcPr>
            <w:tcW w:type="dxa" w:w="1872"/>
          </w:tcPr>
          <w:p>
            <w:pPr>
              <w:spacing w:after="100" w:before="60"/>
            </w:pPr>
            <w:r>
              <w:rPr>
                <w:rFonts w:ascii="Times New Roman" w:hAnsi="Times New Roman"/>
                <w:b w:val="0"/>
                <w:sz w:val="24"/>
              </w:rPr>
              <w:t>477.6</w:t>
            </w:r>
          </w:p>
        </w:tc>
        <w:tc>
          <w:tcPr>
            <w:tcW w:type="dxa" w:w="1728"/>
          </w:tcPr>
          <w:p>
            <w:pPr>
              <w:spacing w:after="100" w:before="60"/>
            </w:pPr>
            <w:r>
              <w:rPr>
                <w:rFonts w:ascii="Times New Roman" w:hAnsi="Times New Roman"/>
                <w:b w:val="0"/>
                <w:sz w:val="24"/>
              </w:rPr>
              <w:t>2.73</w:t>
            </w:r>
          </w:p>
        </w:tc>
        <w:tc>
          <w:tcPr>
            <w:tcW w:type="dxa" w:w="2304"/>
          </w:tcPr>
          <w:p>
            <w:pPr>
              <w:spacing w:after="100" w:before="60"/>
            </w:pPr>
            <w:r>
              <w:rPr>
                <w:rFonts w:ascii="Times New Roman" w:hAnsi="Times New Roman"/>
                <w:b w:val="0"/>
                <w:sz w:val="24"/>
              </w:rPr>
              <w:t>1399</w:t>
            </w:r>
          </w:p>
        </w:tc>
      </w:tr>
      <w:tr>
        <w:trPr>
          <w:cantSplit/>
        </w:trPr>
        <w:tc>
          <w:tcPr>
            <w:tcW w:type="dxa" w:w="3456"/>
          </w:tcPr>
          <w:p>
            <w:pPr>
              <w:spacing w:after="100" w:before="60"/>
            </w:pPr>
            <w:r>
              <w:rPr>
                <w:rFonts w:ascii="Times New Roman" w:hAnsi="Times New Roman"/>
                <w:b w:val="0"/>
                <w:sz w:val="24"/>
              </w:rPr>
              <w:t>Separation and stars</w:t>
            </w:r>
          </w:p>
        </w:tc>
        <w:tc>
          <w:tcPr>
            <w:tcW w:type="dxa" w:w="1872"/>
          </w:tcPr>
          <w:p>
            <w:pPr>
              <w:spacing w:after="100" w:before="60"/>
            </w:pPr>
            <w:r>
              <w:rPr>
                <w:rFonts w:ascii="Times New Roman" w:hAnsi="Times New Roman"/>
                <w:b w:val="0"/>
                <w:sz w:val="24"/>
              </w:rPr>
              <w:t>586.2</w:t>
            </w:r>
          </w:p>
        </w:tc>
        <w:tc>
          <w:tcPr>
            <w:tcW w:type="dxa" w:w="1728"/>
          </w:tcPr>
          <w:p>
            <w:pPr>
              <w:spacing w:after="100" w:before="60"/>
            </w:pPr>
            <w:r>
              <w:rPr>
                <w:rFonts w:ascii="Times New Roman" w:hAnsi="Times New Roman"/>
                <w:b w:val="0"/>
                <w:sz w:val="24"/>
              </w:rPr>
              <w:t>2.14</w:t>
            </w:r>
          </w:p>
        </w:tc>
        <w:tc>
          <w:tcPr>
            <w:tcW w:type="dxa" w:w="2304"/>
          </w:tcPr>
          <w:p>
            <w:pPr>
              <w:spacing w:after="100" w:before="60"/>
            </w:pPr>
            <w:r>
              <w:rPr>
                <w:rFonts w:ascii="Times New Roman" w:hAnsi="Times New Roman"/>
                <w:b w:val="0"/>
                <w:sz w:val="24"/>
              </w:rPr>
              <w:t>1398</w:t>
            </w:r>
          </w:p>
        </w:tc>
      </w:tr>
    </w:tbl>
    <w:p>
      <w:pPr>
        <w:keepNext w:val="0"/>
        <w:spacing w:after="160" w:line="278" w:lineRule="auto"/>
      </w:pPr>
      <w:r>
        <w:rPr>
          <w:rFonts w:ascii="Times New Roman" w:hAnsi="Times New Roman"/>
          <w:b w:val="0"/>
          <w:color w:val="000000"/>
          <w:sz w:val="24"/>
        </w:rPr>
      </w:r>
    </w:p>
    <w:p>
      <w:pPr>
        <w:keepNext w:val="0"/>
        <w:spacing w:after="160" w:line="278" w:lineRule="auto"/>
      </w:pPr>
      <w:r>
        <w:rPr>
          <w:rFonts w:ascii="Times New Roman" w:hAnsi="Times New Roman"/>
          <w:b w:val="0"/>
          <w:color w:val="000000"/>
          <w:sz w:val="24"/>
        </w:rPr>
        <w:t>These are local frame-loop throughput measurements, including CPU work and buffer swaps. They are not GPU-only timings and do not establish performance on the TA machine. Occasional frame outliers remain; these averages do not guarantee every frame meets the target. Raw CSV data and exact commands accompany the project. The refreshed demonstration records the current scene at native 1920 by 1080 with a visible FPS counter and no playback speed change.</w:t>
      </w:r>
    </w:p>
    <w:p>
      <w:pPr>
        <w:keepNext w:val="0"/>
        <w:spacing w:after="160" w:line="278" w:lineRule="auto"/>
      </w:pPr>
      <w:r>
        <w:rPr>
          <w:rFonts w:ascii="Times New Roman" w:hAnsi="Times New Roman"/>
          <w:b w:val="0"/>
          <w:color w:val="000000"/>
          <w:sz w:val="24"/>
        </w:rPr>
        <w:t>Static geometry and the concrete mip chain upload once. Particle rendering uses two instanced draws. The allocated instance buffer is 115,200 bytes (3,600 instances times 32 bytes). The particle pool is bounded; total process/GPU memory was not instrumented, so no unsupported total-memory figure is reported.</w:t>
      </w:r>
    </w:p>
    <w:p>
      <w:pPr>
        <w:keepNext/>
        <w:spacing w:after="160" w:line="278" w:lineRule="auto"/>
      </w:pPr>
      <w:r>
        <w:rPr>
          <w:rFonts w:ascii="Times New Roman" w:hAnsi="Times New Roman"/>
          <w:b/>
          <w:color w:val="000000"/>
          <w:sz w:val="24"/>
        </w:rPr>
        <w:t>6.3 Issues and debugging</w:t>
      </w:r>
    </w:p>
    <w:p>
      <w:pPr>
        <w:keepNext w:val="0"/>
        <w:spacing w:after="160" w:line="278" w:lineRule="auto"/>
      </w:pPr>
      <w:r>
        <w:rPr>
          <w:rFonts w:ascii="Times New Roman" w:hAnsi="Times New Roman"/>
          <w:b w:val="0"/>
          <w:color w:val="000000"/>
          <w:sz w:val="24"/>
        </w:rPr>
        <w:t>Validation found a repeated GLAD implementation include, a high-FPS bias in the fire/smoke mix, overlapping help text, and an incompatible multisample framebuffer blit in video capture. Fixes isolated the loader definition, made the emission ordinal persistent, repositioned help, and added a compatible multisample resolve before capture/display. Scripted demo input is locked to avoid unrelated user input changing its timeline.</w:t>
      </w:r>
    </w:p>
    <w:p>
      <w:r>
        <w:br w:type="page"/>
      </w:r>
    </w:p>
    <w:p>
      <w:pPr>
        <w:keepNext/>
        <w:spacing w:after="160" w:line="278" w:lineRule="auto"/>
      </w:pPr>
      <w:r>
        <w:rPr>
          <w:rFonts w:ascii="Times New Roman" w:hAnsi="Times New Roman"/>
          <w:b/>
          <w:color w:val="000000"/>
          <w:sz w:val="24"/>
        </w:rPr>
        <w:t>7 Conclusion and Future Work</w:t>
      </w:r>
    </w:p>
    <w:p>
      <w:pPr>
        <w:keepNext w:val="0"/>
        <w:spacing w:after="160" w:line="278" w:lineRule="auto"/>
      </w:pPr>
      <w:r>
        <w:rPr>
          <w:rFonts w:ascii="Times New Roman" w:hAnsi="Times New Roman"/>
          <w:b w:val="0"/>
          <w:color w:val="000000"/>
          <w:sz w:val="24"/>
        </w:rPr>
        <w:t>The project integrates a complete programmable graphics pipeline into an interactive launch scene. It demonstrates hierarchical modeling, per-fragment lighting, UV texture sampling, particle blending, camera control and real-time telemetry. All three Baikonur stretch features are implemented and appear in the demonstration. Automated simulation tests and local rendering checks support the implementation, while the final TA-machine and team defense checks remain separate responsibilities.</w:t>
      </w:r>
    </w:p>
    <w:p>
      <w:pPr>
        <w:keepNext/>
        <w:spacing w:after="160" w:line="278" w:lineRule="auto"/>
      </w:pPr>
      <w:r>
        <w:rPr>
          <w:rFonts w:ascii="Times New Roman" w:hAnsi="Times New Roman"/>
          <w:b/>
          <w:color w:val="000000"/>
          <w:sz w:val="24"/>
        </w:rPr>
        <w:t>7.1 Limitations</w:t>
      </w:r>
    </w:p>
    <w:p>
      <w:pPr>
        <w:keepNext w:val="0"/>
        <w:spacing w:after="160" w:line="278" w:lineRule="auto"/>
      </w:pPr>
      <w:r>
        <w:rPr>
          <w:rFonts w:ascii="Times New Roman" w:hAnsi="Times New Roman"/>
          <w:b w:val="0"/>
          <w:color w:val="000000"/>
          <w:sz w:val="24"/>
        </w:rPr>
        <w:t>The animation follows a visual trajectory rather than a force-based rocket model. The site uses repeated primitives, the terrain follows a simplified national boundary with a flat top, and the sky is an artistic gradient. Smoke does not collide with the gantry or cast volumetric shadows. The current blend ordering uses particle-center distance, which is an approximation for overlapping billboards. At extreme altitude or camera distance, the finite terrain and long projection range can expose visual limits.</w:t>
      </w:r>
    </w:p>
    <w:p>
      <w:pPr>
        <w:keepNext w:val="0"/>
        <w:spacing w:after="160" w:line="278" w:lineRule="auto"/>
      </w:pPr>
      <w:r>
        <w:rPr>
          <w:rFonts w:ascii="Times New Roman" w:hAnsi="Times New Roman"/>
          <w:b w:val="0"/>
          <w:color w:val="000000"/>
          <w:sz w:val="24"/>
        </w:rPr>
        <w:t>A long application stall is clamped to a 0.1-second simulation update, preventing a sudden visual jump at the cost of falling behind wall time during exceptional delays. Four-sample MSAA smooths edges in both the window and the recording. Retina rendering, dense curved meshes and a high-resolution TrueType font atlas improve sharpness. Performance varies with display synchronization, framebuffer size, capture and background load. The measurements here do not replace a fresh build and run on the actual assessment machine.</w:t>
      </w:r>
    </w:p>
    <w:p>
      <w:pPr>
        <w:keepNext/>
        <w:spacing w:after="160" w:line="278" w:lineRule="auto"/>
      </w:pPr>
      <w:r>
        <w:rPr>
          <w:rFonts w:ascii="Times New Roman" w:hAnsi="Times New Roman"/>
          <w:b/>
          <w:color w:val="000000"/>
          <w:sz w:val="24"/>
        </w:rPr>
        <w:t>7.2 Prioritized future work</w:t>
      </w:r>
    </w:p>
    <w:p>
      <w:pPr>
        <w:keepNext w:val="0"/>
        <w:spacing w:after="160" w:line="278" w:lineRule="auto"/>
      </w:pPr>
      <w:r>
        <w:rPr>
          <w:rFonts w:ascii="Times New Roman" w:hAnsi="Times New Roman"/>
          <w:b w:val="0"/>
          <w:color w:val="000000"/>
          <w:sz w:val="24"/>
        </w:rPr>
        <w:t>The first graphics extension would be directional shadow mapping to anchor the rocket and gantry more convincingly. A second would replace independent smoke drift with a curl-noise velocity field [10] and depth-aware soft particles to improve intersections. A third would introduce a curved ground model and a physical atmosphere approximation based on [12]-[14]. These additions should be profiled individually before increasing visual complexity.</w:t>
      </w:r>
    </w:p>
    <w:p>
      <w:pPr>
        <w:keepNext w:val="0"/>
        <w:spacing w:after="160" w:line="278" w:lineRule="auto"/>
      </w:pPr>
      <w:r>
        <w:rPr>
          <w:rFonts w:ascii="Times New Roman" w:hAnsi="Times New Roman"/>
          <w:b w:val="0"/>
          <w:color w:val="000000"/>
          <w:sz w:val="24"/>
        </w:rPr>
        <w:t>The strongest software improvements would be a more general scene-node representation, finer resource-error cleanup, and desktop rendering checks on Windows and Linux. A GitHub Actions matrix is configured for builds and numerical tests on all three platforms; its first hosted run is pending. A structured user evaluation could measure whether observers can identify the major launch events and operate the controls without assistance. Each improvement should retain the project's central teaching purpose: making the graphics pipeline explainable.</w:t>
      </w:r>
    </w:p>
    <w:p>
      <w:r>
        <w:br w:type="page"/>
      </w:r>
    </w:p>
    <w:p>
      <w:pPr>
        <w:keepNext/>
        <w:spacing w:after="160" w:line="278" w:lineRule="auto"/>
      </w:pPr>
      <w:r>
        <w:rPr>
          <w:rFonts w:ascii="Times New Roman" w:hAnsi="Times New Roman"/>
          <w:b/>
          <w:color w:val="000000"/>
          <w:sz w:val="24"/>
        </w:rPr>
        <w:t>8 References</w:t>
      </w:r>
    </w:p>
    <w:p>
      <w:pPr>
        <w:keepNext w:val="0"/>
        <w:spacing w:after="160" w:line="278" w:lineRule="auto"/>
      </w:pPr>
      <w:r>
        <w:rPr>
          <w:rFonts w:ascii="Times New Roman" w:hAnsi="Times New Roman"/>
          <w:b w:val="0"/>
          <w:color w:val="000000"/>
          <w:sz w:val="24"/>
        </w:rPr>
        <w:t>Journal articles use IEEE-style numbering. DOI records identify the journal versions; conference-associated journal issues are not counted twice.</w:t>
      </w:r>
    </w:p>
    <w:p>
      <w:pPr>
        <w:keepNext w:val="0"/>
        <w:spacing w:after="160" w:line="278" w:lineRule="auto"/>
      </w:pPr>
      <w:r>
        <w:rPr>
          <w:rFonts w:ascii="Times New Roman" w:hAnsi="Times New Roman"/>
          <w:b w:val="0"/>
          <w:color w:val="000000"/>
          <w:sz w:val="24"/>
        </w:rPr>
        <w:t>[1] W. T. Reeves, "Particle Systems - A Technique for Modeling a Class of Fuzzy Objects," ACM Transactions on Graphics, vol. 2, no. 2, pp. 91-108, 1983. https://doi.org/10.1145/357318.357320</w:t>
      </w:r>
    </w:p>
    <w:p>
      <w:pPr>
        <w:keepNext w:val="0"/>
        <w:spacing w:after="160" w:line="278" w:lineRule="auto"/>
      </w:pPr>
      <w:r>
        <w:rPr>
          <w:rFonts w:ascii="Times New Roman" w:hAnsi="Times New Roman"/>
          <w:b w:val="0"/>
          <w:color w:val="000000"/>
          <w:sz w:val="24"/>
        </w:rPr>
        <w:t>[2] R. L. Cook and K. E. Torrance, "A Reflectance Model for Computer Graphics," ACM Transactions on Graphics, vol. 1, no. 1, pp. 7-24, 1982. https://doi.org/10.1145/357290.357293</w:t>
      </w:r>
    </w:p>
    <w:p>
      <w:pPr>
        <w:keepNext w:val="0"/>
        <w:spacing w:after="160" w:line="278" w:lineRule="auto"/>
      </w:pPr>
      <w:r>
        <w:rPr>
          <w:rFonts w:ascii="Times New Roman" w:hAnsi="Times New Roman"/>
          <w:b w:val="0"/>
          <w:color w:val="000000"/>
          <w:sz w:val="24"/>
        </w:rPr>
        <w:t>[3] R. L. Cook, "Stochastic Sampling in Computer Graphics," ACM Transactions on Graphics, vol. 5, no. 1, pp. 51-72, 1986. https://doi.org/10.1145/7529.8927</w:t>
      </w:r>
    </w:p>
    <w:p>
      <w:pPr>
        <w:keepNext w:val="0"/>
        <w:spacing w:after="160" w:line="278" w:lineRule="auto"/>
      </w:pPr>
      <w:r>
        <w:rPr>
          <w:rFonts w:ascii="Times New Roman" w:hAnsi="Times New Roman"/>
          <w:b w:val="0"/>
          <w:color w:val="000000"/>
          <w:sz w:val="24"/>
        </w:rPr>
        <w:t>[4] K. Perlin, "Improving Noise," ACM Transactions on Graphics, vol. 21, no. 3, pp. 681-682, 2002. https://doi.org/10.1145/566654.566636</w:t>
      </w:r>
    </w:p>
    <w:p>
      <w:pPr>
        <w:keepNext w:val="0"/>
        <w:spacing w:after="160" w:line="278" w:lineRule="auto"/>
      </w:pPr>
      <w:r>
        <w:rPr>
          <w:rFonts w:ascii="Times New Roman" w:hAnsi="Times New Roman"/>
          <w:b w:val="0"/>
          <w:color w:val="000000"/>
          <w:sz w:val="24"/>
        </w:rPr>
        <w:t>[5] D. Q. Nguyen, R. Fedkiw, and H. W. Jensen, "Physically Based Modeling and Animation of Fire," ACM Transactions on Graphics, vol. 21, no. 3, pp. 721-728, 2002. https://doi.org/10.1145/566654.566643</w:t>
      </w:r>
    </w:p>
    <w:p>
      <w:pPr>
        <w:keepNext w:val="0"/>
        <w:spacing w:after="160" w:line="278" w:lineRule="auto"/>
      </w:pPr>
      <w:r>
        <w:rPr>
          <w:rFonts w:ascii="Times New Roman" w:hAnsi="Times New Roman"/>
          <w:b w:val="0"/>
          <w:color w:val="000000"/>
          <w:sz w:val="24"/>
        </w:rPr>
        <w:t>[6] A. Lamorlette and N. Foster, "Structural Modeling of Flames for a Production Environment," ACM Transactions on Graphics, vol. 21, no. 3, pp. 729-735, 2002. https://doi.org/10.1145/566654.566644</w:t>
      </w:r>
    </w:p>
    <w:p>
      <w:r>
        <w:br w:type="page"/>
      </w:r>
    </w:p>
    <w:p>
      <w:pPr>
        <w:keepNext/>
        <w:spacing w:after="160" w:line="278" w:lineRule="auto"/>
      </w:pPr>
      <w:r>
        <w:rPr>
          <w:rFonts w:ascii="Times New Roman" w:hAnsi="Times New Roman"/>
          <w:b/>
          <w:color w:val="000000"/>
          <w:sz w:val="24"/>
        </w:rPr>
        <w:t>8 References continued</w:t>
      </w:r>
    </w:p>
    <w:p>
      <w:pPr>
        <w:keepNext w:val="0"/>
        <w:spacing w:after="160" w:line="278" w:lineRule="auto"/>
      </w:pPr>
      <w:r>
        <w:rPr>
          <w:rFonts w:ascii="Times New Roman" w:hAnsi="Times New Roman"/>
          <w:b w:val="0"/>
          <w:color w:val="000000"/>
          <w:sz w:val="24"/>
        </w:rPr>
        <w:t>[7] N. Rasmussen, D. Q. Nguyen, W. Geiger, and R. Fedkiw, "Smoke Simulation for Large Scale Phenomena," ACM Transactions on Graphics, vol. 22, no. 3, pp. 703-707, 2003. https://doi.org/10.1145/882262.882335</w:t>
      </w:r>
    </w:p>
    <w:p>
      <w:pPr>
        <w:keepNext w:val="0"/>
        <w:spacing w:after="160" w:line="278" w:lineRule="auto"/>
      </w:pPr>
      <w:r>
        <w:rPr>
          <w:rFonts w:ascii="Times New Roman" w:hAnsi="Times New Roman"/>
          <w:b w:val="0"/>
          <w:color w:val="000000"/>
          <w:sz w:val="24"/>
        </w:rPr>
        <w:t>[8] F. Losasso, F. Gibou, and R. Fedkiw, "Simulating Water and Smoke with an Octree Data Structure," ACM Transactions on Graphics, vol. 23, no. 3, pp. 457-462, 2004. https://doi.org/10.1145/1015706.1015745</w:t>
      </w:r>
    </w:p>
    <w:p>
      <w:pPr>
        <w:keepNext w:val="0"/>
        <w:spacing w:after="160" w:line="278" w:lineRule="auto"/>
      </w:pPr>
      <w:r>
        <w:rPr>
          <w:rFonts w:ascii="Times New Roman" w:hAnsi="Times New Roman"/>
          <w:b w:val="0"/>
          <w:color w:val="000000"/>
          <w:sz w:val="24"/>
        </w:rPr>
        <w:t>[9] A. Selle, N. Rasmussen, and R. Fedkiw, "A Vortex Particle Method for Smoke, Water and Explosions," ACM Transactions on Graphics, vol. 24, no. 3, pp. 910-914, 2005. https://doi.org/10.1145/1073204.1073282</w:t>
      </w:r>
    </w:p>
    <w:p>
      <w:pPr>
        <w:keepNext w:val="0"/>
        <w:spacing w:after="160" w:line="278" w:lineRule="auto"/>
      </w:pPr>
      <w:r>
        <w:rPr>
          <w:rFonts w:ascii="Times New Roman" w:hAnsi="Times New Roman"/>
          <w:b w:val="0"/>
          <w:color w:val="000000"/>
          <w:sz w:val="24"/>
        </w:rPr>
        <w:t>[10] R. Bridson, J. Hourihan, and M. Nordenstam, "Curl-Noise for Procedural Fluid Flow," ACM Transactions on Graphics, vol. 26, no. 3, Article 46, 2007. https://doi.org/10.1145/1276377.1276435</w:t>
      </w:r>
    </w:p>
    <w:p>
      <w:pPr>
        <w:keepNext w:val="0"/>
        <w:spacing w:after="160" w:line="278" w:lineRule="auto"/>
      </w:pPr>
      <w:r>
        <w:rPr>
          <w:rFonts w:ascii="Times New Roman" w:hAnsi="Times New Roman"/>
          <w:b w:val="0"/>
          <w:color w:val="000000"/>
          <w:sz w:val="24"/>
        </w:rPr>
        <w:t>[11] T. Kim, N. Thurey, D. James, and M. Gross, "Wavelet Turbulence for Fluid Simulation," ACM Transactions on Graphics, vol. 27, no. 3, Article 50, 2008. https://doi.org/10.1145/1360612.1360649</w:t>
      </w:r>
    </w:p>
    <w:p>
      <w:pPr>
        <w:keepNext w:val="0"/>
        <w:spacing w:after="160" w:line="278" w:lineRule="auto"/>
      </w:pPr>
      <w:r>
        <w:rPr>
          <w:rFonts w:ascii="Times New Roman" w:hAnsi="Times New Roman"/>
          <w:b w:val="0"/>
          <w:color w:val="000000"/>
          <w:sz w:val="24"/>
        </w:rPr>
        <w:t>[12] E. Bruneton and F. Neyret, "Precomputed Atmospheric Scattering," Computer Graphics Forum, vol. 27, no. 4, pp. 1079-1086, 2008. https://doi.org/10.1111/j.1467-8659.2008.01245.x</w:t>
      </w:r>
    </w:p>
    <w:p>
      <w:r>
        <w:br w:type="page"/>
      </w:r>
    </w:p>
    <w:p>
      <w:pPr>
        <w:keepNext/>
        <w:spacing w:after="160" w:line="278" w:lineRule="auto"/>
      </w:pPr>
      <w:r>
        <w:rPr>
          <w:rFonts w:ascii="Times New Roman" w:hAnsi="Times New Roman"/>
          <w:b/>
          <w:color w:val="000000"/>
          <w:sz w:val="24"/>
        </w:rPr>
        <w:t>8 References continued</w:t>
      </w:r>
    </w:p>
    <w:p>
      <w:pPr>
        <w:keepNext w:val="0"/>
        <w:spacing w:after="160" w:line="278" w:lineRule="auto"/>
      </w:pPr>
      <w:r>
        <w:rPr>
          <w:rFonts w:ascii="Times New Roman" w:hAnsi="Times New Roman"/>
          <w:b w:val="0"/>
          <w:color w:val="000000"/>
          <w:sz w:val="24"/>
        </w:rPr>
        <w:t>[13] L. Hosek and A. Wilkie, "An Analytic Model for Full Spectral Sky-Dome Radiance," ACM Transactions on Graphics, vol. 31, no. 4, Article 95, 2012. https://doi.org/10.1145/2185520.2185591</w:t>
      </w:r>
    </w:p>
    <w:p>
      <w:pPr>
        <w:keepNext w:val="0"/>
        <w:spacing w:after="160" w:line="278" w:lineRule="auto"/>
      </w:pPr>
      <w:r>
        <w:rPr>
          <w:rFonts w:ascii="Times New Roman" w:hAnsi="Times New Roman"/>
          <w:b w:val="0"/>
          <w:color w:val="000000"/>
          <w:sz w:val="24"/>
        </w:rPr>
        <w:t>[14] S. Hillaire, "A Scalable and Production Ready Sky and Atmosphere Rendering Technique," Computer Graphics Forum, vol. 39, no. 4, pp. 13-22, 2020. https://doi.org/10.1111/cgf.14050</w:t>
      </w:r>
    </w:p>
    <w:p>
      <w:pPr>
        <w:keepNext w:val="0"/>
        <w:spacing w:after="160" w:line="278" w:lineRule="auto"/>
      </w:pPr>
      <w:r>
        <w:rPr>
          <w:rFonts w:ascii="Times New Roman" w:hAnsi="Times New Roman"/>
          <w:b w:val="0"/>
          <w:color w:val="000000"/>
          <w:sz w:val="24"/>
        </w:rPr>
        <w:t>[15] A. Lagae, S. Lefebvre, R. Cook, T. DeRose, G. Drettakis, D. S. Ebert, J. P. Lewis, K. Perlin, and M. Zwicker, "A Survey of Procedural Noise Functions," Computer Graphics Forum, vol. 29, no. 8, pp. 2579-2600, 2010. https://doi.org/10.1111/j.1467-8659.2010.01827.x</w:t>
      </w:r>
    </w:p>
    <w:p>
      <w:pPr>
        <w:keepNext w:val="0"/>
        <w:spacing w:after="160" w:line="278" w:lineRule="auto"/>
      </w:pPr>
      <w:r>
        <w:rPr>
          <w:rFonts w:ascii="Times New Roman" w:hAnsi="Times New Roman"/>
          <w:b w:val="0"/>
          <w:color w:val="000000"/>
          <w:sz w:val="24"/>
        </w:rPr>
        <w:t>[16] Computer Graphics Fundamentals course lecture collection supplied by the team, including Transformations, Viewing, Shading, Texture Mapping, Hierarchical Models and Procedural Methods. Slides credit E. Angel and D. Shreiner, Interactive Computer Graphics, 6th ed., Addison-Wesley, 2012. PDF-page mappings appear in Appendix A and docs/COURSE_MAP.md.</w:t>
      </w:r>
    </w:p>
    <w:p>
      <w:pPr>
        <w:keepNext w:val="0"/>
        <w:spacing w:after="160" w:line="278" w:lineRule="auto"/>
      </w:pPr>
      <w:r>
        <w:rPr>
          <w:rFonts w:ascii="Times New Roman" w:hAnsi="Times New Roman"/>
          <w:b w:val="0"/>
          <w:color w:val="000000"/>
          <w:sz w:val="24"/>
        </w:rPr>
        <w:t>[17] GLFW contributors, GLFW 3.4 documentation, https://www.glfw.org/docs/3.4/ . Accessed October 19, 2026.</w:t>
      </w:r>
    </w:p>
    <w:p>
      <w:pPr>
        <w:keepNext w:val="0"/>
        <w:spacing w:after="160" w:line="278" w:lineRule="auto"/>
      </w:pPr>
      <w:r>
        <w:rPr>
          <w:rFonts w:ascii="Times New Roman" w:hAnsi="Times New Roman"/>
          <w:b w:val="0"/>
          <w:color w:val="000000"/>
          <w:sz w:val="24"/>
        </w:rPr>
        <w:t>[18] Khronos Group, OpenGL 3.3 Core Profile Specification, https://registry.khronos.org/OpenGL/specs/gl/glspec33.core.pdf . API reference for buffers, shaders and drawing.</w:t>
      </w:r>
    </w:p>
    <w:p>
      <w:pPr>
        <w:keepNext w:val="0"/>
        <w:spacing w:after="160" w:line="278" w:lineRule="auto"/>
      </w:pPr>
      <w:r>
        <w:rPr>
          <w:rFonts w:ascii="Times New Roman" w:hAnsi="Times New Roman"/>
          <w:b w:val="0"/>
          <w:color w:val="000000"/>
          <w:sz w:val="24"/>
        </w:rPr>
        <w:t>[19] Matej Bel University Library, Scimago Journal &amp; Country Rank: Computer Graphics and Computer-Aided Design, 2024 metrics (Scopus data as of March 2025), pp. 1 and 3. https://kniznica.umb.sk/app/cmsFile.php?ID=21899&amp;disposition=i .</w:t>
      </w:r>
    </w:p>
    <w:p>
      <w:pPr>
        <w:keepNext w:val="0"/>
        <w:spacing w:after="160" w:line="278" w:lineRule="auto"/>
      </w:pPr>
      <w:r>
        <w:rPr>
          <w:rFonts w:ascii="Times New Roman" w:hAnsi="Times New Roman"/>
          <w:b w:val="0"/>
          <w:color w:val="000000"/>
          <w:sz w:val="24"/>
        </w:rPr>
        <w:t>Library credits and license locations: GLFW, zlib/libpng; GLAD, MIT and Khronos notices; GLM, MIT or Happy Bunny; Dear ImGui, MIT. Exact versions, authors, repository links and retained licenses are listed in CREDITS.md. No external models, texture photographs, sound tracks or copied shader snippets are used.</w:t>
      </w:r>
    </w:p>
    <w:p>
      <w:r>
        <w:br w:type="page"/>
      </w:r>
    </w:p>
    <w:p>
      <w:pPr>
        <w:keepNext/>
        <w:spacing w:after="160" w:line="278" w:lineRule="auto"/>
      </w:pPr>
      <w:r>
        <w:rPr>
          <w:rFonts w:ascii="Times New Roman" w:hAnsi="Times New Roman"/>
          <w:b/>
          <w:color w:val="000000"/>
          <w:sz w:val="24"/>
        </w:rPr>
        <w:t>9 AI Use Note</w:t>
      </w:r>
    </w:p>
    <w:p>
      <w:pPr>
        <w:keepNext w:val="0"/>
        <w:spacing w:after="160" w:line="278" w:lineRule="auto"/>
      </w:pPr>
      <w:r>
        <w:rPr>
          <w:rFonts w:ascii="Times New Roman" w:hAnsi="Times New Roman"/>
          <w:b w:val="0"/>
          <w:color w:val="000000"/>
          <w:sz w:val="24"/>
        </w:rPr>
        <w:t>OpenAI Codex provided substantial assistance in producing this project. It generated the initial C++ application, original procedural geometry and textures, GLSL shaders, simulation tests, build files, documentation, literature-review prose, report and presentation. It also assisted with compiling, debugging, searching and verifying references, measuring performance, and recording the demonstration.</w:t>
      </w:r>
    </w:p>
    <w:p>
      <w:pPr>
        <w:keepNext w:val="0"/>
        <w:spacing w:after="160" w:line="278" w:lineRule="auto"/>
      </w:pPr>
      <w:r>
        <w:rPr>
          <w:rFonts w:ascii="Times New Roman" w:hAnsi="Times New Roman"/>
          <w:b w:val="0"/>
          <w:color w:val="000000"/>
          <w:sz w:val="24"/>
        </w:rPr>
        <w:t>The user selected the Baikonur theme, supplied the assignment documents and course lectures, and provided the four team members' names and groups. At preparation time, the team has not yet confirmed individual source changes, independent verification or actual module contributions. The package therefore does not attribute the generated implementation to particular students or claim a history of student commits.</w:t>
      </w:r>
    </w:p>
    <w:p>
      <w:pPr>
        <w:keepNext w:val="0"/>
        <w:spacing w:after="160" w:line="278" w:lineRule="auto"/>
      </w:pPr>
      <w:r>
        <w:rPr>
          <w:rFonts w:ascii="Times New Roman" w:hAnsi="Times New Roman"/>
          <w:b w:val="0"/>
          <w:color w:val="000000"/>
          <w:sz w:val="24"/>
        </w:rPr>
        <w:t>AI-assisted revisions made during validation included fixing the GLAD definition scope, correcting the emission ratio at high frame rates, moving the controls help to avoid overlap, separating fixed-resolution recording from window size, correcting framebuffer sample compatibility, and locking the scripted demo against unrelated input. Later revisions added Kazakhstan terrain, scenery, terrain tests, refreshed evidence and a platform build workflow. These changes were followed by the automated and rendering checks reported in Section 6.</w:t>
      </w:r>
    </w:p>
    <w:p>
      <w:pPr>
        <w:keepNext w:val="0"/>
        <w:spacing w:after="160" w:line="278" w:lineRule="auto"/>
      </w:pPr>
      <w:r>
        <w:rPr>
          <w:rFonts w:ascii="Times New Roman" w:hAnsi="Times New Roman"/>
          <w:b w:val="0"/>
          <w:color w:val="000000"/>
          <w:sz w:val="24"/>
        </w:rPr>
        <w:t>Before submitting, the team must review the implementation, test it using the course setup, confirm or revise the explanations, and record its own substantive changes and responsibilities. Each member must be able to explain the whole pipeline and the mathematics relevant to their presentation. Any further AI-assisted modifications should be added to this note and the README with the specific work performed and how the team checked it.</w:t>
      </w:r>
    </w:p>
    <w:p>
      <w:pPr>
        <w:keepNext/>
        <w:spacing w:after="160" w:line="278" w:lineRule="auto"/>
      </w:pPr>
      <w:r>
        <w:rPr>
          <w:rFonts w:ascii="Times New Roman" w:hAnsi="Times New Roman"/>
          <w:b/>
          <w:color w:val="000000"/>
          <w:sz w:val="24"/>
        </w:rPr>
        <w:t>Asset and source provenance</w:t>
      </w:r>
    </w:p>
    <w:p>
      <w:pPr>
        <w:keepNext w:val="0"/>
        <w:spacing w:after="160" w:line="278" w:lineRule="auto"/>
      </w:pPr>
      <w:r>
        <w:rPr>
          <w:rFonts w:ascii="Times New Roman" w:hAnsi="Times New Roman"/>
          <w:b w:val="0"/>
          <w:color w:val="000000"/>
          <w:sz w:val="24"/>
        </w:rPr>
        <w:t>Procedural geometry, textures, shaders and screenshots originate in the project. The terrain boundary derives from Natural Earth v5.1.2 public-domain map data, credited in Appendix B and CREDITS.md. The report preserves the university logo from the supplied template. Scholarly papers informed comparisons and design reasoning; their advanced algorithms are not presented as implemented features. The source package retains library license files. The video contains real-time rendered application output with in-application captions and telemetry, encoded without speed alteration.</w:t>
      </w:r>
    </w:p>
    <w:p>
      <w:r>
        <w:br w:type="page"/>
      </w:r>
    </w:p>
    <w:p>
      <w:pPr>
        <w:keepNext/>
        <w:spacing w:after="160" w:line="278" w:lineRule="auto"/>
      </w:pPr>
      <w:r>
        <w:rPr>
          <w:rFonts w:ascii="Times New Roman" w:hAnsi="Times New Roman"/>
          <w:b/>
          <w:color w:val="000000"/>
          <w:sz w:val="24"/>
        </w:rPr>
        <w:t>Appendix A Course connections and defense</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4032"/>
        <w:gridCol w:w="5328"/>
      </w:tblGrid>
      <w:tr>
        <w:trPr>
          <w:cantSplit/>
          <w:tblHeader/>
        </w:trPr>
        <w:tc>
          <w:tcPr>
            <w:tcW w:type="dxa" w:w="4032"/>
          </w:tcPr>
          <w:p>
            <w:pPr>
              <w:spacing w:after="100" w:before="60"/>
            </w:pPr>
            <w:r>
              <w:rPr>
                <w:rFonts w:ascii="Times New Roman" w:hAnsi="Times New Roman"/>
                <w:b/>
                <w:sz w:val="24"/>
              </w:rPr>
              <w:t>Course topic</w:t>
            </w:r>
          </w:p>
        </w:tc>
        <w:tc>
          <w:tcPr>
            <w:tcW w:type="dxa" w:w="5328"/>
          </w:tcPr>
          <w:p>
            <w:pPr>
              <w:spacing w:after="100" w:before="60"/>
            </w:pPr>
            <w:r>
              <w:rPr>
                <w:rFonts w:ascii="Times New Roman" w:hAnsi="Times New Roman"/>
                <w:b/>
                <w:sz w:val="24"/>
              </w:rPr>
              <w:t>Project connection</w:t>
            </w:r>
          </w:p>
        </w:tc>
      </w:tr>
      <w:tr>
        <w:trPr>
          <w:cantSplit/>
        </w:trPr>
        <w:tc>
          <w:tcPr>
            <w:tcW w:type="dxa" w:w="4032"/>
          </w:tcPr>
          <w:p>
            <w:pPr>
              <w:spacing w:after="100" w:before="60"/>
            </w:pPr>
            <w:r>
              <w:rPr>
                <w:rFonts w:ascii="Times New Roman" w:hAnsi="Times New Roman"/>
                <w:b w:val="0"/>
                <w:sz w:val="24"/>
              </w:rPr>
              <w:t>Transforms, L-4-1 pp. 9-10, 22-25</w:t>
            </w:r>
          </w:p>
        </w:tc>
        <w:tc>
          <w:tcPr>
            <w:tcW w:type="dxa" w:w="5328"/>
          </w:tcPr>
          <w:p>
            <w:pPr>
              <w:spacing w:after="100" w:before="60"/>
            </w:pPr>
            <w:r>
              <w:rPr>
                <w:rFonts w:ascii="Times New Roman" w:hAnsi="Times New Roman"/>
                <w:b w:val="0"/>
                <w:sz w:val="24"/>
              </w:rPr>
              <w:t>Column vectors, concatenation and local/parent transforms.</w:t>
            </w:r>
          </w:p>
        </w:tc>
      </w:tr>
      <w:tr>
        <w:trPr>
          <w:cantSplit/>
        </w:trPr>
        <w:tc>
          <w:tcPr>
            <w:tcW w:type="dxa" w:w="4032"/>
          </w:tcPr>
          <w:p>
            <w:pPr>
              <w:spacing w:after="100" w:before="60"/>
            </w:pPr>
            <w:r>
              <w:rPr>
                <w:rFonts w:ascii="Times New Roman" w:hAnsi="Times New Roman"/>
                <w:b w:val="0"/>
                <w:sz w:val="24"/>
              </w:rPr>
              <w:t>Viewing, L-5-1 pp. 11-12, 16-22</w:t>
            </w:r>
          </w:p>
        </w:tc>
        <w:tc>
          <w:tcPr>
            <w:tcW w:type="dxa" w:w="5328"/>
          </w:tcPr>
          <w:p>
            <w:pPr>
              <w:spacing w:after="100" w:before="60"/>
            </w:pPr>
            <w:r>
              <w:rPr>
                <w:rFonts w:ascii="Times New Roman" w:hAnsi="Times New Roman"/>
                <w:b w:val="0"/>
                <w:sz w:val="24"/>
              </w:rPr>
              <w:t>LookAt, perspective projection and aspect ratio.</w:t>
            </w:r>
          </w:p>
        </w:tc>
      </w:tr>
      <w:tr>
        <w:trPr>
          <w:cantSplit/>
        </w:trPr>
        <w:tc>
          <w:tcPr>
            <w:tcW w:type="dxa" w:w="4032"/>
          </w:tcPr>
          <w:p>
            <w:pPr>
              <w:spacing w:after="100" w:before="60"/>
            </w:pPr>
            <w:r>
              <w:rPr>
                <w:rFonts w:ascii="Times New Roman" w:hAnsi="Times New Roman"/>
                <w:b w:val="0"/>
                <w:sz w:val="24"/>
              </w:rPr>
              <w:t>Shading, L-5-2 pp. 29, 66-70</w:t>
            </w:r>
          </w:p>
        </w:tc>
        <w:tc>
          <w:tcPr>
            <w:tcW w:type="dxa" w:w="5328"/>
          </w:tcPr>
          <w:p>
            <w:pPr>
              <w:spacing w:after="100" w:before="60"/>
            </w:pPr>
            <w:r>
              <w:rPr>
                <w:rFonts w:ascii="Times New Roman" w:hAnsi="Times New Roman"/>
                <w:b w:val="0"/>
                <w:sz w:val="24"/>
              </w:rPr>
              <w:t>Modified Phong model and per-fragment evaluation.</w:t>
            </w:r>
          </w:p>
        </w:tc>
      </w:tr>
      <w:tr>
        <w:trPr>
          <w:cantSplit/>
        </w:trPr>
        <w:tc>
          <w:tcPr>
            <w:tcW w:type="dxa" w:w="4032"/>
          </w:tcPr>
          <w:p>
            <w:pPr>
              <w:spacing w:after="100" w:before="60"/>
            </w:pPr>
            <w:r>
              <w:rPr>
                <w:rFonts w:ascii="Times New Roman" w:hAnsi="Times New Roman"/>
                <w:b w:val="0"/>
                <w:sz w:val="24"/>
              </w:rPr>
              <w:t>Textures, L-8 pp. 30-34, 38-40</w:t>
            </w:r>
          </w:p>
        </w:tc>
        <w:tc>
          <w:tcPr>
            <w:tcW w:type="dxa" w:w="5328"/>
          </w:tcPr>
          <w:p>
            <w:pPr>
              <w:spacing w:after="100" w:before="60"/>
            </w:pPr>
            <w:r>
              <w:rPr>
                <w:rFonts w:ascii="Times New Roman" w:hAnsi="Times New Roman"/>
                <w:b w:val="0"/>
                <w:sz w:val="24"/>
              </w:rPr>
              <w:t>UV interpolation, repeat sampling and mipmaps.</w:t>
            </w:r>
          </w:p>
        </w:tc>
      </w:tr>
      <w:tr>
        <w:trPr>
          <w:cantSplit/>
        </w:trPr>
        <w:tc>
          <w:tcPr>
            <w:tcW w:type="dxa" w:w="4032"/>
          </w:tcPr>
          <w:p>
            <w:pPr>
              <w:spacing w:after="100" w:before="60"/>
            </w:pPr>
            <w:r>
              <w:rPr>
                <w:rFonts w:ascii="Times New Roman" w:hAnsi="Times New Roman"/>
                <w:b w:val="0"/>
                <w:sz w:val="24"/>
              </w:rPr>
              <w:t>Hierarchy, L-9 pp. 8-11, 29-32, 45</w:t>
            </w:r>
          </w:p>
        </w:tc>
        <w:tc>
          <w:tcPr>
            <w:tcW w:type="dxa" w:w="5328"/>
          </w:tcPr>
          <w:p>
            <w:pPr>
              <w:spacing w:after="100" w:before="60"/>
            </w:pPr>
            <w:r>
              <w:rPr>
                <w:rFonts w:ascii="Times New Roman" w:hAnsi="Times New Roman"/>
                <w:b w:val="0"/>
                <w:sz w:val="24"/>
              </w:rPr>
              <w:t>Parent-child composition and dynamic detachment.</w:t>
            </w:r>
          </w:p>
        </w:tc>
      </w:tr>
      <w:tr>
        <w:trPr>
          <w:cantSplit/>
        </w:trPr>
        <w:tc>
          <w:tcPr>
            <w:tcW w:type="dxa" w:w="4032"/>
          </w:tcPr>
          <w:p>
            <w:pPr>
              <w:spacing w:after="100" w:before="60"/>
            </w:pPr>
            <w:r>
              <w:rPr>
                <w:rFonts w:ascii="Times New Roman" w:hAnsi="Times New Roman"/>
                <w:b w:val="0"/>
                <w:sz w:val="24"/>
              </w:rPr>
              <w:t>Procedural methods, L-10 pp. 14-22</w:t>
            </w:r>
          </w:p>
        </w:tc>
        <w:tc>
          <w:tcPr>
            <w:tcW w:type="dxa" w:w="5328"/>
          </w:tcPr>
          <w:p>
            <w:pPr>
              <w:spacing w:after="100" w:before="60"/>
            </w:pPr>
            <w:r>
              <w:rPr>
                <w:rFonts w:ascii="Times New Roman" w:hAnsi="Times New Roman"/>
                <w:b w:val="0"/>
                <w:sz w:val="24"/>
              </w:rPr>
              <w:t>Particle generation, attributes, motion and extinction.</w:t>
            </w:r>
          </w:p>
        </w:tc>
      </w:tr>
    </w:tbl>
    <w:p>
      <w:pPr>
        <w:keepNext w:val="0"/>
        <w:spacing w:after="160" w:line="278" w:lineRule="auto"/>
      </w:pPr>
      <w:r>
        <w:rPr>
          <w:rFonts w:ascii="Times New Roman" w:hAnsi="Times New Roman"/>
          <w:b w:val="0"/>
          <w:color w:val="000000"/>
          <w:sz w:val="24"/>
        </w:rPr>
      </w:r>
    </w:p>
    <w:p>
      <w:pPr>
        <w:keepNext w:val="0"/>
        <w:spacing w:after="160" w:line="278" w:lineRule="auto"/>
      </w:pPr>
      <w:r>
        <w:rPr>
          <w:rFonts w:ascii="Times New Roman" w:hAnsi="Times New Roman"/>
          <w:b w:val="0"/>
          <w:color w:val="000000"/>
          <w:sz w:val="24"/>
        </w:rPr>
        <w:t>The references above use PDF page numbers. Course materials supplement the fifteen journal articles rather than replacing them. The detailed mapping also covers geometry, input, solid models and parametric surfaces.</w:t>
      </w:r>
    </w:p>
    <w:p>
      <w:pPr>
        <w:keepNext/>
        <w:spacing w:after="160" w:line="278" w:lineRule="auto"/>
      </w:pPr>
      <w:r>
        <w:rPr>
          <w:rFonts w:ascii="Times New Roman" w:hAnsi="Times New Roman"/>
          <w:b/>
          <w:color w:val="000000"/>
          <w:sz w:val="24"/>
        </w:rPr>
        <w:t>Suggested presentation allocation</w:t>
      </w:r>
    </w:p>
    <w:p>
      <w:pPr>
        <w:keepNext w:val="0"/>
        <w:spacing w:after="160" w:line="278" w:lineRule="auto"/>
      </w:pPr>
      <w:r>
        <w:rPr>
          <w:rFonts w:ascii="Times New Roman" w:hAnsi="Times New Roman"/>
          <w:b w:val="0"/>
          <w:color w:val="000000"/>
          <w:sz w:val="24"/>
        </w:rPr>
        <w:t>Akbope Bakytkeldy (SE2426): slides 1-2, scope and requirements. Moldir Omar (SE2426): slides 3-4, pipeline and hierarchy. Ayaulym Talgat (SE2427): slides 5-7, shading and effects. Talant Altaikhan (SE2425): slides 8-10, interaction, tests and conclusions. This is a proposed speaking plan, not an assertion of completed development contributions.</w:t>
      </w:r>
    </w:p>
    <w:p>
      <w:pPr>
        <w:keepNext/>
        <w:spacing w:after="160" w:line="278" w:lineRule="auto"/>
      </w:pPr>
      <w:r>
        <w:rPr>
          <w:rFonts w:ascii="Times New Roman" w:hAnsi="Times New Roman"/>
          <w:b/>
          <w:color w:val="000000"/>
          <w:sz w:val="24"/>
        </w:rPr>
        <w:t>Submission status</w:t>
      </w:r>
    </w:p>
    <w:p>
      <w:pPr>
        <w:keepNext w:val="0"/>
        <w:spacing w:after="160" w:line="278" w:lineRule="auto"/>
      </w:pPr>
      <w:r>
        <w:rPr>
          <w:rFonts w:ascii="Times New Roman" w:hAnsi="Times New Roman"/>
          <w:b w:val="0"/>
          <w:color w:val="000000"/>
          <w:sz w:val="24"/>
        </w:rPr>
        <w:t>The defense and submission dates remain to be confirmed. The team must verify topic registration, confirm TA access to github.com/aqinaq/baiqonyr, maintain genuine member commits, tag the actual submission revision v1.0, and upload the report PDF, slide deck and demo. The submission deadline is three days before defense at 23:59 Asia/Almaty. The local package cannot establish account-based submission or individual oral understanding.</w:t>
      </w:r>
    </w:p>
    <w:p>
      <w:r>
        <w:br w:type="page"/>
      </w:r>
    </w:p>
    <w:p>
      <w:pPr>
        <w:keepNext/>
        <w:spacing w:after="160" w:line="278" w:lineRule="auto"/>
      </w:pPr>
      <w:r>
        <w:rPr>
          <w:rFonts w:ascii="Times New Roman" w:hAnsi="Times New Roman"/>
          <w:b/>
          <w:color w:val="000000"/>
          <w:sz w:val="24"/>
        </w:rPr>
        <w:t>Appendix B Kazakhstan terrain</w:t>
      </w:r>
    </w:p>
    <w:p>
      <w:pPr>
        <w:keepNext/>
        <w:spacing w:after="160" w:line="278"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kazakhstan-map.png"/>
                    <pic:cNvPicPr/>
                  </pic:nvPicPr>
                  <pic:blipFill>
                    <a:blip r:embed="rId20"/>
                    <a:stretch>
                      <a:fillRect/>
                    </a:stretch>
                  </pic:blipFill>
                  <pic:spPr>
                    <a:xfrm>
                      <a:off x="0" y="0"/>
                      <a:ext cx="5806440" cy="3266122"/>
                    </a:xfrm>
                    <a:prstGeom prst="rect"/>
                  </pic:spPr>
                </pic:pic>
              </a:graphicData>
            </a:graphic>
          </wp:inline>
        </w:drawing>
      </w:r>
    </w:p>
    <w:p>
      <w:pPr>
        <w:keepNext w:val="0"/>
        <w:spacing w:after="160" w:line="278" w:lineRule="auto"/>
        <w:jc w:val="center"/>
      </w:pPr>
      <w:r>
        <w:rPr>
          <w:rFonts w:ascii="Times New Roman" w:hAnsi="Times New Roman"/>
          <w:b w:val="0"/>
          <w:color w:val="000000"/>
          <w:sz w:val="24"/>
        </w:rPr>
        <w:t>Fig. 7 Kazakhstan outline viewed from high altitude</w:t>
      </w:r>
    </w:p>
    <w:p>
      <w:pPr>
        <w:keepNext w:val="0"/>
        <w:spacing w:after="160" w:line="278" w:lineRule="auto"/>
      </w:pPr>
      <w:r>
        <w:rPr>
          <w:rFonts w:ascii="Times New Roman" w:hAnsi="Times New Roman"/>
          <w:b w:val="0"/>
          <w:color w:val="000000"/>
          <w:sz w:val="24"/>
        </w:rPr>
        <w:t>The terrain uses the Kazakhstan boundary from Natural Earth v5.1.2 at 1:110m scale. An equirectangular projection at 48 degrees north maps east to +X and north to -Z. The approximate Baikonur launch area at 63.34 degrees east and 45.92 degrees north becomes the scene origin. The country is scaled to 10,000 scene units wide.</w:t>
      </w:r>
    </w:p>
    <w:p>
      <w:pPr>
        <w:keepNext w:val="0"/>
        <w:spacing w:after="160" w:line="278" w:lineRule="auto"/>
      </w:pPr>
      <w:r>
        <w:rPr>
          <w:rFonts w:ascii="Times New Roman" w:hAnsi="Times New Roman"/>
          <w:b w:val="0"/>
          <w:color w:val="000000"/>
          <w:sz w:val="24"/>
        </w:rPr>
        <w:t>Ear clipping triangulates the concave outline without filling across its indentations. Reversed bottom triangles and side quads close the mesh into a shallow solid. Tests compare triangle area with polygon area, inspect winding and verify that the launch complex lies inside the boundary. The baked header and original GeoJSON are bundled, so rebuilding does not download map data.</w:t>
      </w:r>
    </w:p>
    <w:p>
      <w:pPr>
        <w:keepNext w:val="0"/>
        <w:spacing w:after="160" w:line="278" w:lineRule="auto"/>
      </w:pPr>
      <w:r>
        <w:rPr>
          <w:rFonts w:ascii="Times New Roman" w:hAnsi="Times New Roman"/>
          <w:b w:val="0"/>
          <w:color w:val="000000"/>
          <w:sz w:val="24"/>
        </w:rPr>
        <w:t>The launch-site details include a ribbed hangar, pipework, vehicles, railway, cables, scrub and rocks. They are stylized procedural scenery. The country outline is a display map with a flat top, not a measured elevation model or a reconstruction of the real launch facility.</w:t>
      </w:r>
    </w:p>
    <w:p>
      <w:pPr>
        <w:keepNext w:val="0"/>
        <w:spacing w:after="160" w:line="278" w:lineRule="auto"/>
      </w:pPr>
      <w:r>
        <w:rPr>
          <w:rFonts w:ascii="Times New Roman" w:hAnsi="Times New Roman"/>
          <w:b w:val="0"/>
          <w:color w:val="000000"/>
          <w:sz w:val="24"/>
        </w:rPr>
        <w:t>Map source and license: Natural Earth contributors, Admin 0 Countries, v5.1.2, public domain. https://github.com/nvkelso/natural-earth-vector/tree/v5.1.2/geojson and https://www.naturalearthdata.com/about/terms-of-use/ . See CREDITS.md for the exact source file.</w:t>
      </w:r>
    </w:p>
    <w:sectPr w:rsidR="00552E72" w:rsidRPr="00552E7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CB2989" w14:textId="77777777" w:rsidR="00212FD8" w:rsidRDefault="00212FD8">
      <w:pPr>
        <w:spacing w:line="240" w:lineRule="auto"/>
      </w:pPr>
      <w:r>
        <w:separator/>
      </w:r>
    </w:p>
  </w:endnote>
  <w:endnote w:type="continuationSeparator" w:id="0">
    <w:p w14:paraId="5EAAC57A" w14:textId="77777777" w:rsidR="00212FD8" w:rsidRDefault="00212F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3ACB" w14:textId="77777777" w:rsidR="00212FD8" w:rsidRDefault="00212FD8">
      <w:pPr>
        <w:spacing w:after="0"/>
      </w:pPr>
      <w:r>
        <w:separator/>
      </w:r>
    </w:p>
  </w:footnote>
  <w:footnote w:type="continuationSeparator" w:id="0">
    <w:p w14:paraId="2C525F4B" w14:textId="77777777" w:rsidR="00212FD8" w:rsidRDefault="00212F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8139E4"/>
    <w:multiLevelType w:val="multilevel"/>
    <w:tmpl w:val="668139E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6BB8A814"/>
    <w:multiLevelType w:val="singleLevel"/>
    <w:tmpl w:val="6BB8A814"/>
    <w:lvl w:ilvl="0">
      <w:start w:val="2"/>
      <w:numFmt w:val="decimal"/>
      <w:suff w:val="space"/>
      <w:lvlText w:val="%1."/>
      <w:lvlJc w:val="left"/>
    </w:lvl>
  </w:abstractNum>
  <w:num w:numId="1" w16cid:durableId="2122874642">
    <w:abstractNumId w:val="0"/>
  </w:num>
  <w:num w:numId="2" w16cid:durableId="1377656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E6D"/>
    <w:rsid w:val="001724AE"/>
    <w:rsid w:val="00212FD8"/>
    <w:rsid w:val="00342072"/>
    <w:rsid w:val="003D4F1C"/>
    <w:rsid w:val="00504E6D"/>
    <w:rsid w:val="00552E72"/>
    <w:rsid w:val="007756B4"/>
    <w:rsid w:val="00997202"/>
    <w:rsid w:val="009D3914"/>
    <w:rsid w:val="00CB1B80"/>
    <w:rsid w:val="00CE6747"/>
    <w:rsid w:val="00F359CE"/>
    <w:rsid w:val="00F57636"/>
    <w:rsid w:val="27635021"/>
    <w:rsid w:val="338801A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F4721"/>
  <w15:docId w15:val="{C36C8CD1-9F48-4C47-968D-3659E93A5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lang w:val="ru-RU"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rFonts w:eastAsiaTheme="majorEastAsia" w:cstheme="majorBidi"/>
      <w:color w:val="595959" w:themeColor="text1" w:themeTint="A6"/>
      <w:spacing w:val="15"/>
      <w:sz w:val="28"/>
      <w:szCs w:val="28"/>
    </w:rPr>
  </w:style>
  <w:style w:type="character" w:customStyle="1" w:styleId="10">
    <w:name w:val="Заголовок 1 Знак"/>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Pr>
      <w:rFonts w:eastAsiaTheme="majorEastAsia" w:cstheme="majorBidi"/>
      <w:color w:val="0F4761" w:themeColor="accent1" w:themeShade="BF"/>
    </w:rPr>
  </w:style>
  <w:style w:type="character" w:customStyle="1" w:styleId="60">
    <w:name w:val="Заголовок 6 Знак"/>
    <w:basedOn w:val="a0"/>
    <w:link w:val="6"/>
    <w:uiPriority w:val="9"/>
    <w:semiHidden/>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4">
    <w:name w:val="Заголовок Знак"/>
    <w:basedOn w:val="a0"/>
    <w:link w:val="a3"/>
    <w:uiPriority w:val="10"/>
    <w:qFormat/>
    <w:rPr>
      <w:rFonts w:asciiTheme="majorHAnsi" w:eastAsiaTheme="majorEastAsia" w:hAnsiTheme="majorHAnsi" w:cstheme="majorBidi"/>
      <w:spacing w:val="-10"/>
      <w:kern w:val="28"/>
      <w:sz w:val="56"/>
      <w:szCs w:val="56"/>
    </w:rPr>
  </w:style>
  <w:style w:type="character" w:customStyle="1" w:styleId="a6">
    <w:name w:val="Подзаголовок Знак"/>
    <w:basedOn w:val="a0"/>
    <w:link w:val="a5"/>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jc w:val="center"/>
    </w:pPr>
    <w:rPr>
      <w:i/>
      <w:iCs/>
      <w:color w:val="404040" w:themeColor="text1" w:themeTint="BF"/>
    </w:rPr>
  </w:style>
  <w:style w:type="character" w:customStyle="1" w:styleId="22">
    <w:name w:val="Цитата 2 Знак"/>
    <w:basedOn w:val="a0"/>
    <w:link w:val="21"/>
    <w:uiPriority w:val="29"/>
    <w:rPr>
      <w:i/>
      <w:iCs/>
      <w:color w:val="404040" w:themeColor="text1" w:themeTint="BF"/>
    </w:rPr>
  </w:style>
  <w:style w:type="paragraph" w:styleId="a7">
    <w:name w:val="List Paragraph"/>
    <w:basedOn w:val="a"/>
    <w:uiPriority w:val="34"/>
    <w:qFormat/>
    <w:pPr>
      <w:ind w:left="720"/>
      <w:contextualSpacing/>
    </w:pPr>
  </w:style>
  <w:style w:type="character" w:customStyle="1" w:styleId="IntenseEmphasis1">
    <w:name w:val="Intense Emphasis1"/>
    <w:basedOn w:val="a0"/>
    <w:uiPriority w:val="21"/>
    <w:qFormat/>
    <w:rPr>
      <w:i/>
      <w:iCs/>
      <w:color w:val="0F4761" w:themeColor="accent1" w:themeShade="BF"/>
    </w:rPr>
  </w:style>
  <w:style w:type="paragraph" w:styleId="a8">
    <w:name w:val="Intense Quote"/>
    <w:basedOn w:val="a"/>
    <w:next w:val="a"/>
    <w:link w:val="a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qFormat/>
    <w:rPr>
      <w:i/>
      <w:iCs/>
      <w:color w:val="0F4761" w:themeColor="accent1" w:themeShade="BF"/>
    </w:rPr>
  </w:style>
  <w:style w:type="character" w:customStyle="1" w:styleId="IntenseReference1">
    <w:name w:val="Intense Reference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9BDE73F0D7D24B901BB02B883E1D33" ma:contentTypeVersion="12" ma:contentTypeDescription="Create a new document." ma:contentTypeScope="" ma:versionID="dee7a72c322d2bec5bbfbf129aa7de26">
  <xsd:schema xmlns:xsd="http://www.w3.org/2001/XMLSchema" xmlns:xs="http://www.w3.org/2001/XMLSchema" xmlns:p="http://schemas.microsoft.com/office/2006/metadata/properties" xmlns:ns3="d53de97c-a74b-4054-b952-7f58730bb59c" targetNamespace="http://schemas.microsoft.com/office/2006/metadata/properties" ma:root="true" ma:fieldsID="94733b08051e4c6ae78e8a3ae4fa222d" ns3:_="">
    <xsd:import namespace="d53de97c-a74b-4054-b952-7f58730bb59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CR"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de97c-a74b-4054-b952-7f58730bb5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965D92-36E0-40AA-90B5-CAF3437F04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de97c-a74b-4054-b952-7f58730bb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EFA0E4-E929-47AA-8982-F2436E200DDB}">
  <ds:schemaRefs>
    <ds:schemaRef ds:uri="http://schemas.microsoft.com/sharepoint/v3/contenttype/forms"/>
  </ds:schemaRefs>
</ds:datastoreItem>
</file>

<file path=customXml/itemProps3.xml><?xml version="1.0" encoding="utf-8"?>
<ds:datastoreItem xmlns:ds="http://schemas.openxmlformats.org/officeDocument/2006/customXml" ds:itemID="{41E5D2B1-AC65-4938-8069-67108A5D3F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Kamila Batkuldinova</dc:creator>
  <cp:lastModifiedBy>Nazira</cp:lastModifiedBy>
  <cp:revision>4</cp:revision>
  <dcterms:created xsi:type="dcterms:W3CDTF">2025-03-27T07:05:00Z</dcterms:created>
  <dcterms:modified xsi:type="dcterms:W3CDTF">2026-09-13T18:08:00Z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620ab547-d3ce-4ccc-92c9-ed07db899a77</vt:lpwstr>
  </property>
  <property fmtid="{D5CDD505-2E9C-101B-9397-08002B2CF9AE}" pid="3" name="ContentTypeId">
    <vt:lpwstr>0x0101000C9BDE73F0D7D24B901BB02B883E1D33</vt:lpwstr>
  </property>
  <property fmtid="{D5CDD505-2E9C-101B-9397-08002B2CF9AE}" pid="4" name="KSOProductBuildVer">
    <vt:lpwstr>1049-12.2.0.22549</vt:lpwstr>
  </property>
  <property fmtid="{D5CDD505-2E9C-101B-9397-08002B2CF9AE}" pid="5" name="ICV">
    <vt:lpwstr>5E49E0C4CC49458B966055B5613D838D_12</vt:lpwstr>
  </property>
</Properties>
</file>