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Calibri" w:hAnsi="Calibri" w:eastAsia="Calibri"/>
          <w:b/>
          <w:i w:val="0"/>
          <w:color w:val="1B3A4B"/>
          <w:sz w:val="44"/>
        </w:rPr>
        <w:t>Recommended repository changes</w:t>
      </w:r>
    </w:p>
    <w:p>
      <w:pPr>
        <w:spacing w:before="0" w:after="200" w:line="259" w:lineRule="auto"/>
      </w:pPr>
      <w:r>
        <w:rPr>
          <w:rFonts w:ascii="Calibri" w:hAnsi="Calibri" w:eastAsia="Calibri"/>
          <w:b w:val="0"/>
          <w:i w:val="0"/>
          <w:color w:val="0F6E6E"/>
          <w:sz w:val="24"/>
        </w:rPr>
        <w:t>annual.updates  ·  aqli-epic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/>
          <w:color w:val="4B5563"/>
          <w:sz w:val="20"/>
        </w:rPr>
        <w:t>Review date: 25 September 2026.  Branch: master.  Commit: 8da69d1.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This document records a review of the public repository github.com/aqli-epic/annual.updates. It is a proposal. No repository files were changed to match it.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The repository is a working research archive of AQLI figures, datasets, and code. The public face still reads like a private working folder: the README is out of date, package metadata is still the R template, folder names follow three conventions at once, and a few files that should stay off a public organization repository are committed.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Historical figure scripts should keep their current paths. Standardization applies to the public documents, git hygiene, and new work.</w:t>
      </w:r>
    </w:p>
    <w:p>
      <w:pPr>
        <w:spacing w:before="320" w:after="120" w:line="259" w:lineRule="auto"/>
      </w:pPr>
      <w:r>
        <w:rPr>
          <w:rFonts w:ascii="Calibri" w:hAnsi="Calibri" w:eastAsia="Calibri"/>
          <w:b/>
          <w:i w:val="0"/>
          <w:color w:val="1B3A4B"/>
          <w:sz w:val="32"/>
        </w:rPr>
        <w:t>Current layout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184" w:type="dxa"/>
      </w:tblPr>
      <w:tblGrid>
        <w:gridCol w:w="4592"/>
        <w:gridCol w:w="4592"/>
      </w:tblGrid>
      <w:tr>
        <w:tc>
          <w:tcPr>
            <w:tcW w:type="dxa" w:w="351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B3A4B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566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B3A4B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351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2025/, 2026/</w:t>
            </w:r>
          </w:p>
        </w:tc>
        <w:tc>
          <w:tcPr>
            <w:tcW w:type="dxa" w:w="566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Active annual-update years at the repo root</w:t>
            </w:r>
          </w:p>
        </w:tc>
      </w:tr>
      <w:tr>
        <w:tc>
          <w:tcPr>
            <w:tcW w:type="dxa" w:w="351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archive/2022 through archive/2024</w:t>
            </w:r>
          </w:p>
        </w:tc>
        <w:tc>
          <w:tcPr>
            <w:tcW w:type="dxa" w:w="566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Closed update years</w:t>
            </w:r>
          </w:p>
        </w:tc>
      </w:tr>
      <w:tr>
        <w:tc>
          <w:tcPr>
            <w:tcW w:type="dxa" w:w="351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R/, man/</w:t>
            </w:r>
          </w:p>
        </w:tc>
        <w:tc>
          <w:tcPr>
            <w:tcW w:type="dxa" w:w="566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Shared helper scripts and two roxygen2 help pages</w:t>
            </w:r>
          </w:p>
        </w:tc>
      </w:tr>
      <w:tr>
        <w:tc>
          <w:tcPr>
            <w:tcW w:type="dxa" w:w="351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AQFund Analytic Dev/</w:t>
            </w:r>
          </w:p>
        </w:tc>
        <w:tc>
          <w:tcPr>
            <w:tcW w:type="dxa" w:w="566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Shiny app, with its own renv.lock</w:t>
            </w:r>
          </w:p>
        </w:tc>
      </w:tr>
      <w:tr>
        <w:tc>
          <w:tcPr>
            <w:tcW w:type="dxa" w:w="351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AQLI Analytics Explorer Dashboard/</w:t>
            </w:r>
          </w:p>
        </w:tc>
        <w:tc>
          <w:tcPr>
            <w:tcW w:type="dxa" w:w="566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Shiny app, with its own renv.lock</w:t>
            </w:r>
          </w:p>
        </w:tc>
      </w:tr>
      <w:tr>
        <w:tc>
          <w:tcPr>
            <w:tcW w:type="dxa" w:w="351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DataExplorerDash/</w:t>
            </w:r>
          </w:p>
        </w:tc>
        <w:tc>
          <w:tcPr>
            <w:tcW w:type="dxa" w:w="566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Shiny app, with its own renv.lock</w:t>
            </w:r>
          </w:p>
        </w:tc>
      </w:tr>
      <w:tr>
        <w:tc>
          <w:tcPr>
            <w:tcW w:type="dxa" w:w="351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FS Prompt Dev/</w:t>
            </w:r>
          </w:p>
        </w:tc>
        <w:tc>
          <w:tcPr>
            <w:tcW w:type="dxa" w:w="566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Factsheet prompt draft (.qmd and .docx)</w:t>
            </w:r>
          </w:p>
        </w:tc>
      </w:tr>
      <w:tr>
        <w:tc>
          <w:tcPr>
            <w:tcW w:type="dxa" w:w="351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India/</w:t>
            </w:r>
          </w:p>
        </w:tc>
        <w:tc>
          <w:tcPr>
            <w:tcW w:type="dxa" w:w="566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Four India CSV extracts, not tied to a year folder</w:t>
            </w:r>
          </w:p>
        </w:tc>
      </w:tr>
      <w:tr>
        <w:tc>
          <w:tcPr>
            <w:tcW w:type="dxa" w:w="351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DESCRIPTION, NAMESPACE, .Rproj</w:t>
            </w:r>
          </w:p>
        </w:tc>
        <w:tc>
          <w:tcPr>
            <w:tcW w:type="dxa" w:w="566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 package scaffold</w:t>
            </w:r>
          </w:p>
        </w:tc>
      </w:tr>
    </w:tbl>
    <w:p>
      <w:pPr>
        <w:spacing w:before="0" w:after="80" w:line="259" w:lineRule="auto"/>
      </w:pP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About 1,053 tracked files, roughly 683 MB. Outputs and inputs are committed together: about 351 PNGs, 220 CSVs, shapefiles, and a few multi-megabyte SVGs and color tables.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The root README still says the current update is a 2024 folder. That folder is archive/2024. The README does not mention 2025, 2026, the dashboards, India/, or FS Prompt Dev.</w:t>
      </w:r>
    </w:p>
    <w:p>
      <w:pPr>
        <w:spacing w:before="320" w:after="120" w:line="259" w:lineRule="auto"/>
      </w:pPr>
      <w:r>
        <w:rPr>
          <w:rFonts w:ascii="Calibri" w:hAnsi="Calibri" w:eastAsia="Calibri"/>
          <w:b/>
          <w:i w:val="0"/>
          <w:color w:val="1B3A4B"/>
          <w:sz w:val="32"/>
        </w:rPr>
        <w:t>1. Make the public face accurate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Replace the root README.md with a short organization README that includes: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What AQLI annual updates are, and who the repository is for.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A directory map that matches the tree on disk.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Where the current report year lives, and where older years live.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How to reproduce one figure: which script, which inputs, which output.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Links to the published report and factsheets.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DESCRIPTION and NAMESPACE are still the R package template: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Package: annual.report.june.2022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Title: What the Package Does (Title Case)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Author: Who wrote it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Maintainer: The package maintainer &lt;yourself@somewhere.net&gt;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License: What license is it under?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NAMESPACE is exportPattern("^[[:alpha:]]+"), which exports every function.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annual.updates.Rproj is set to BuildType: Package, but the helpers in R/ are not an installable package. They call setwd("~/Desktop/") and read files that are not in the package. man/ documents two functions. The year-specific helpers (june.2022.helper.script.R, july.2024.helper.script.R, july.2025.helper.script.R) are scripts, not package code.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Recommended package stance: stop presenting the whole repository as one installable package. Keep R/ as shared helpers. Either give those helpers real metadata and make them install cleanly, or turn off package build settings until that is true.</w:t>
      </w:r>
    </w:p>
    <w:p>
      <w:pPr>
        <w:spacing w:before="320" w:after="120" w:line="259" w:lineRule="auto"/>
      </w:pPr>
      <w:r>
        <w:rPr>
          <w:rFonts w:ascii="Calibri" w:hAnsi="Calibri" w:eastAsia="Calibri"/>
          <w:b/>
          <w:i w:val="0"/>
          <w:color w:val="1B3A4B"/>
          <w:sz w:val="32"/>
        </w:rPr>
        <w:t>2. Add the files an organization repository is expected to have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None of these exist today.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184" w:type="dxa"/>
      </w:tblPr>
      <w:tblGrid>
        <w:gridCol w:w="4592"/>
        <w:gridCol w:w="4592"/>
      </w:tblGrid>
      <w:tr>
        <w:tc>
          <w:tcPr>
            <w:tcW w:type="dxa" w:w="374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B3A4B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54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B3A4B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74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LICENSE</w:t>
            </w:r>
          </w:p>
        </w:tc>
        <w:tc>
          <w:tcPr>
            <w:tcW w:type="dxa" w:w="54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How others may use the code and the data. Needs an explicit choice.</w:t>
            </w:r>
          </w:p>
        </w:tc>
      </w:tr>
      <w:tr>
        <w:tc>
          <w:tcPr>
            <w:tcW w:type="dxa" w:w="374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CITATION.cff or CITATION</w:t>
            </w:r>
          </w:p>
        </w:tc>
        <w:tc>
          <w:tcPr>
            <w:tcW w:type="dxa" w:w="54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How to cite an annual update.</w:t>
            </w:r>
          </w:p>
        </w:tc>
      </w:tr>
      <w:tr>
        <w:tc>
          <w:tcPr>
            <w:tcW w:type="dxa" w:w="374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CONTRIBUTING.md</w:t>
            </w:r>
          </w:p>
        </w:tc>
        <w:tc>
          <w:tcPr>
            <w:tcW w:type="dxa" w:w="54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Branch, folder, and figure-script rules for analysts.</w:t>
            </w:r>
          </w:p>
        </w:tc>
      </w:tr>
      <w:tr>
        <w:tc>
          <w:tcPr>
            <w:tcW w:type="dxa" w:w="374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.github/PULL_REQUEST_TEMPLATE.md</w:t>
            </w:r>
          </w:p>
        </w:tc>
        <w:tc>
          <w:tcPr>
            <w:tcW w:type="dxa" w:w="54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What a figure pull request must include: script, data, output, year.</w:t>
            </w:r>
          </w:p>
        </w:tc>
      </w:tr>
      <w:tr>
        <w:tc>
          <w:tcPr>
            <w:tcW w:type="dxa" w:w="374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.github/ISSUE_TEMPLATE/</w:t>
            </w:r>
          </w:p>
        </w:tc>
        <w:tc>
          <w:tcPr>
            <w:tcW w:type="dxa" w:w="54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Bug, data-question, and new-figure templates.</w:t>
            </w:r>
          </w:p>
        </w:tc>
      </w:tr>
      <w:tr>
        <w:tc>
          <w:tcPr>
            <w:tcW w:type="dxa" w:w="374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CODEOWNERS</w:t>
            </w:r>
          </w:p>
        </w:tc>
        <w:tc>
          <w:tcPr>
            <w:tcW w:type="dxa" w:w="54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Who reviews report, factsheet, and dashboard changes.</w:t>
            </w:r>
          </w:p>
        </w:tc>
      </w:tr>
    </w:tbl>
    <w:p>
      <w:pPr>
        <w:spacing w:before="0" w:after="80" w:line="259" w:lineRule="auto"/>
      </w:pP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Open decision: whether the license covers code only, or code and the published datasets. Data licensing should be chosen by AQLI.</w:t>
      </w:r>
    </w:p>
    <w:p>
      <w:pPr>
        <w:spacing w:before="320" w:after="120" w:line="259" w:lineRule="auto"/>
      </w:pPr>
      <w:r>
        <w:rPr>
          <w:rFonts w:ascii="Calibri" w:hAnsi="Calibri" w:eastAsia="Calibri"/>
          <w:b/>
          <w:i w:val="0"/>
          <w:color w:val="1B3A4B"/>
          <w:sz w:val="32"/>
        </w:rPr>
        <w:t>3. One naming convention, applied going forward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Three conventions are in use at once.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184" w:type="dxa"/>
      </w:tblPr>
      <w:tblGrid>
        <w:gridCol w:w="4592"/>
        <w:gridCol w:w="4592"/>
      </w:tblGrid>
      <w:tr>
        <w:tc>
          <w:tcPr>
            <w:tcW w:type="dxa" w:w="26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B3A4B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Pattern</w:t>
            </w:r>
          </w:p>
        </w:tc>
        <w:tc>
          <w:tcPr>
            <w:tcW w:type="dxa" w:w="657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B3A4B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6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Lowercase, dotted</w:t>
            </w:r>
          </w:p>
        </w:tc>
        <w:tc>
          <w:tcPr>
            <w:tcW w:type="dxa" w:w="657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2025/annual.report.2025/5.south.asia</w:t>
            </w:r>
          </w:p>
        </w:tc>
      </w:tr>
      <w:tr>
        <w:tc>
          <w:tcPr>
            <w:tcW w:type="dxa" w:w="26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Title case</w:t>
            </w:r>
          </w:p>
        </w:tc>
        <w:tc>
          <w:tcPr>
            <w:tcW w:type="dxa" w:w="657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2026/annual.report.2026/5.Latin.America</w:t>
            </w:r>
          </w:p>
        </w:tc>
      </w:tr>
      <w:tr>
        <w:tc>
          <w:tcPr>
            <w:tcW w:type="dxa" w:w="26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Spaces in folder names</w:t>
            </w:r>
          </w:p>
        </w:tc>
        <w:tc>
          <w:tcPr>
            <w:tcW w:type="dxa" w:w="657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4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 w:line="259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AQFund Analytic Dev, AQLI Analytics Explorer Dashboard, FS Prompt Dev, latin america, helper functions</w:t>
            </w:r>
          </w:p>
        </w:tc>
      </w:tr>
    </w:tbl>
    <w:p>
      <w:pPr>
        <w:spacing w:before="0" w:after="80" w:line="259" w:lineRule="auto"/>
      </w:pP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2026/factsheets/ has no country folders yet. 2025/factsheets/ uses country names, with one space in “latin america”.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Document one convention and use it for new work: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Years stay at the repository root: 2025/, 2026/. A completed year moves under archive/ only when that cycle is closed.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Inside a year: annual-report/, factsheets/, website/, plus any one-off analysis.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Sections and figures: 01-global/fig-1-1/ — numeric prefix, lowercase, hyphens, no spaces.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Apps live under apps/aqfund/, apps/analytics-explorer/, and apps/data-explorer/. Each app gets a README that says whether it is the current app.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Shared code stays in R/.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One-off extracts such as root India/ move under the year they belong to.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Prompt drafts move under internal/factsheet-prompts/, so the root is only years, archive, shared code, apps, and docs.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Leave archive/ and the finished 2025 tree on their current paths. Those paths are referenced by existing scripts. Renaming them would break reproduction of published figures.</w:t>
      </w:r>
    </w:p>
    <w:p>
      <w:pPr>
        <w:spacing w:before="320" w:after="120" w:line="259" w:lineRule="auto"/>
      </w:pPr>
      <w:r>
        <w:rPr>
          <w:rFonts w:ascii="Calibri" w:hAnsi="Calibri" w:eastAsia="Calibri"/>
          <w:b/>
          <w:i w:val="0"/>
          <w:color w:val="1B3A4B"/>
          <w:sz w:val="32"/>
        </w:rPr>
        <w:t>4. Remove files that should not be in a public organization repository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Do this first. The repository is already public.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1F2937"/>
          <w:sz w:val="22"/>
        </w:rPr>
        <w:t xml:space="preserve">Credentials. </w:t>
      </w:r>
      <w:r>
        <w:rPr>
          <w:rFonts w:ascii="Calibri" w:hAnsi="Calibri" w:eastAsia="Calibri"/>
          <w:b w:val="0"/>
          <w:i w:val="0"/>
          <w:color w:val="1F2937"/>
          <w:sz w:val="22"/>
        </w:rPr>
        <w:t>Plaintext dashboard usernames and passwords are committed in AQLI Analytics Explorer Dashboard/global.R, in the credentials data frame near the AUTHENTICATION DATA comment. Rotate those passwords, then delete them from the file. Read authentication from environment variables.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1F2937"/>
          <w:sz w:val="22"/>
        </w:rPr>
        <w:t xml:space="preserve">Finder metadata. </w:t>
      </w:r>
      <w:r>
        <w:rPr>
          <w:rFonts w:ascii="Calibri" w:hAnsi="Calibri" w:eastAsia="Calibri"/>
          <w:b w:val="0"/>
          <w:i w:val="0"/>
          <w:color w:val="1F2937"/>
          <w:sz w:val="22"/>
        </w:rPr>
        <w:t>Four .DS_Store files are tracked: the repository root, 2026/, 2026/annual.report.2026/, and 2026/factsheets/. The 2026/factsheets/ folder contains only that .DS_Store.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1F2937"/>
          <w:sz w:val="22"/>
        </w:rPr>
        <w:t xml:space="preserve">Deploy records. </w:t>
      </w:r>
      <w:r>
        <w:rPr>
          <w:rFonts w:ascii="Calibri" w:hAnsi="Calibri" w:eastAsia="Calibri"/>
          <w:b w:val="0"/>
          <w:i w:val="0"/>
          <w:color w:val="1F2937"/>
          <w:sz w:val="22"/>
        </w:rPr>
        <w:t>rsconnect/ deploy records for shinyapps.io are committed in all three apps. They name the aqli-epic account, app ids, and bundle ids. Stop tracking rsconnect/.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.gitignore today ignores .Rproj.user, .Rhistory, .RData, .Ruserdata, and .DS_Store. .DS_Store is listed and still tracked, because ignore rules do not untrack files that are already committed.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Expand .gitignore to cover .DS_Store, rsconnect/, .Rproj.user/, .Rhistory, .RData, .Ruserdata, and Shiny test snapshots (*_.new.png, already ignored inside AQFund Analytic Dev only). Then remove the tracked .DS_Store files and rsconnect/ directories from the index.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Author emails and machine-specific paths are also committed inside R/. july.2025.helper.script.R sets the working directory to ~/Desktop/ and reads GADM files from that Desktop. Treat those as reproducibility bugs in section 5, and drop personal machine paths from shared scripts.</w:t>
      </w:r>
    </w:p>
    <w:p>
      <w:pPr>
        <w:spacing w:before="320" w:after="120" w:line="259" w:lineRule="auto"/>
      </w:pPr>
      <w:r>
        <w:rPr>
          <w:rFonts w:ascii="Calibri" w:hAnsi="Calibri" w:eastAsia="Calibri"/>
          <w:b/>
          <w:i w:val="0"/>
          <w:color w:val="1B3A4B"/>
          <w:sz w:val="32"/>
        </w:rPr>
        <w:t>5. Make a figure reproducible from the repository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Helper scripts point outside the repository: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R/july.2025.helper.script.R sets the working directory to ~/Desktop/ and reads GADM CSV and shapefile paths on that Desktop.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R/june.2022.helper.script.R reads ./june.2022/master.dataset/color_2020.csv and related files. The on-disk path is archive/2022/master.dataset/.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Each Shiny app has its own renv.lock. Nothing at the root records the R version or which lockfile to use. There is no root test suite. AQFund Analytic Dev/.gitignore only ignores shinytest2 debug snapshots.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For the current year: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Replace absolute paths with paths relative to the repository root.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Add a root renv.lock, or keep one lockfile per app and say so in that app’s README. Record the R version either way.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Add 2026/README.md stating which input file produces which figure.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Generated outputs can stay in git when they are the published figure source. Say that in the README. These files are large enough to deserve a stated reason for staying: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archive/2023/factsheets/usa/fig1/fig1.svg — 48 MB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archive/2023/factsheets/usa/fig2/fig2.svg — 26 MB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archive/2022/master.dataset/color_2020.csv — 21 MB; color_2016.csv — 20 MB; color_2019.csv — 17 MB</w:t>
      </w:r>
    </w:p>
    <w:p>
      <w:pPr>
        <w:spacing w:before="320" w:after="120" w:line="259" w:lineRule="auto"/>
      </w:pPr>
      <w:r>
        <w:rPr>
          <w:rFonts w:ascii="Calibri" w:hAnsi="Calibri" w:eastAsia="Calibri"/>
          <w:b/>
          <w:i w:val="0"/>
          <w:color w:val="1B3A4B"/>
          <w:sz w:val="32"/>
        </w:rPr>
        <w:t>Suggested order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1F2937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2937"/>
          <w:sz w:val="22"/>
        </w:rPr>
        <w:t>Secrets, .gitignore, and tracked .DS_Store and rsconnect/ files.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1F2937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2937"/>
          <w:sz w:val="22"/>
        </w:rPr>
        <w:t>README, license, citation, and contributing files.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1F2937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2937"/>
          <w:sz w:val="22"/>
        </w:rPr>
        <w:t>Naming guide, then move only the loose root folders (apps/, the India extract, prompt drafts).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1F2937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2937"/>
          <w:sz w:val="22"/>
        </w:rPr>
        <w:t>Path and renv cleanup for 2026. Leave archive scripts on their current paths.</w:t>
      </w:r>
    </w:p>
    <w:p>
      <w:pPr>
        <w:spacing w:before="320" w:after="120" w:line="259" w:lineRule="auto"/>
      </w:pPr>
      <w:r>
        <w:rPr>
          <w:rFonts w:ascii="Calibri" w:hAnsi="Calibri" w:eastAsia="Calibri"/>
          <w:b/>
          <w:i w:val="0"/>
          <w:color w:val="1B3A4B"/>
          <w:sz w:val="32"/>
        </w:rPr>
        <w:t>Out of scope for a first pass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Rewriting figure scripts under archive/ or finished 2025 work.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Choosing a license without an AQLI decision.</w:t>
      </w:r>
    </w:p>
    <w:p>
      <w:pPr>
        <w:spacing w:before="20"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0F6E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F2937"/>
          <w:sz w:val="22"/>
        </w:rPr>
        <w:t>GitHub settings that are not files: branch protection, required review, and repository topics. Those belong in a follow-up on the GitHub repository settings.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AQLI annual.updates  ·  Recommended repository changes  ·  25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