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surat196603171991022001</w:t>
      </w:r>
      <w:r w:rsidR="00D76DB3" w:rsidRPr="00753D69">
        <w:rPr>
          <w:rFonts w:ascii="Arial" w:hAnsi="Arial" w:cs="Arial"/>
          <w:sz w:val="23"/>
          <w:szCs w:val="23"/>
          <w:lang w:val="id-ID"/>
        </w:rPr>
        <w:tab/>
      </w:r>
      <w:r w:rsidR="002C537D" w:rsidRPr="00BE02A9">
        <w:rPr>
          <w:rFonts w:ascii="Bookman Old Style" w:hAnsi="Bookman Old Style"/>
        </w:rPr>
        <w:t>2021-12-01</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rahasia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closing project</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ibu kepala</w:t>
      </w:r>
      <w:r w:rsidR="00AF0CB3" w:rsidRPr="00753D69">
        <w:rPr>
          <w:rFonts w:ascii="Arial" w:hAnsi="Arial" w:cs="Arial"/>
          <w:sz w:val="23"/>
          <w:szCs w:val="23"/>
        </w:rPr>
        <w:t xml:space="preserve"> </w:t>
      </w:r>
      <w:r w:rsidR="002C537D" w:rsidRPr="00BE02A9">
        <w:rPr>
          <w:rFonts w:ascii="Bookman Old Style" w:hAnsi="Bookman Old Style"/>
        </w:rPr>
        <w:t>MABES TNI</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tester</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I DEWA YULI</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I DEWA YULI</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