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48.png" ContentType="image/png"/>
  <Override PartName="/word/media/rId44.png" ContentType="image/png"/>
  <Override PartName="/word/media/rId37.png" ContentType="image/png"/>
  <Override PartName="/word/media/rId52.png" ContentType="image/png"/>
  <Override PartName="/word/media/rId31.png" ContentType="image/png"/>
  <Override PartName="/word/media/rId24.png" ContentType="image/png"/>
  <Override PartName="/word/media/rId4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BlockText"/>
      </w:pPr>
      <w:r>
        <w:t xml:space="preserve">你一定要做自己，做自己喜欢的事，然后把自己交给命运</w:t>
      </w:r>
      <w:r>
        <w:t xml:space="preserve"> </w:t>
      </w:r>
    </w:p>
    <w:p>
      <w:pPr>
        <w:pStyle w:val="FirstParagraph"/>
      </w:pPr>
      <w:r>
        <w:t xml:space="preserve">@[toc]</w:t>
      </w:r>
    </w:p>
    <w:p>
      <w:pPr>
        <w:pStyle w:val="Heading1"/>
      </w:pPr>
      <w:bookmarkStart w:id="21" w:name="本章启航思维导图"/>
      <w:bookmarkEnd w:id="21"/>
      <w:r>
        <w:t xml:space="preserve">本章启航思维导图</w:t>
      </w:r>
    </w:p>
    <w:p>
      <w:pPr>
        <w:pStyle w:val="FigureWithCaption"/>
      </w:pPr>
      <w:r>
        <w:drawing>
          <wp:inline>
            <wp:extent cx="5334000" cy="2699657"/>
            <wp:effectExtent b="0" l="0" r="0" t="0"/>
            <wp:docPr descr="" title="" id="1" name="Picture"/>
            <a:graphic>
              <a:graphicData uri="http://schemas.openxmlformats.org/drawingml/2006/picture">
                <pic:pic>
                  <pic:nvPicPr>
                    <pic:cNvPr descr="https://img-blog.csdnimg.cn/abec2846e6244a1b8af29f375779983c.png?x-oss-process=image/watermark,type_ZmFuZ3poZW5naGVpdGk,shadow_10,text_aHR0cHM6Ly9ibG9nLmNzZG4ubmV0L1F1YW50dW1Zb3U=,size_16,color_FFFFFF,t_70" id="0" name="Picture"/>
                    <pic:cNvPicPr>
                      <a:picLocks noChangeArrowheads="1" noChangeAspect="1"/>
                    </pic:cNvPicPr>
                  </pic:nvPicPr>
                  <pic:blipFill>
                    <a:blip r:embed="rId24"/>
                    <a:stretch>
                      <a:fillRect/>
                    </a:stretch>
                  </pic:blipFill>
                  <pic:spPr bwMode="auto">
                    <a:xfrm>
                      <a:off x="0" y="0"/>
                      <a:ext cx="5334000" cy="2699657"/>
                    </a:xfrm>
                    <a:prstGeom prst="rect">
                      <a:avLst/>
                    </a:prstGeom>
                    <a:noFill/>
                    <a:ln w="9525">
                      <a:noFill/>
                      <a:headEnd/>
                      <a:tailEnd/>
                    </a:ln>
                  </pic:spPr>
                </pic:pic>
              </a:graphicData>
            </a:graphic>
          </wp:inline>
        </w:drawing>
      </w:r>
    </w:p>
    <w:p>
      <w:pPr>
        <w:pStyle w:val="ImageCaption"/>
      </w:pPr>
      <w:r>
        <w:t xml:space="preserve"/>
      </w:r>
    </w:p>
    <w:p>
      <w:pPr>
        <w:pStyle w:val="Heading1"/>
      </w:pPr>
      <w:bookmarkStart w:id="25" w:name="数据链路层"/>
      <w:bookmarkEnd w:id="25"/>
      <w:r>
        <w:t xml:space="preserve">数据链路层</w:t>
      </w:r>
    </w:p>
    <w:p>
      <w:pPr>
        <w:pStyle w:val="Heading2"/>
      </w:pPr>
      <w:bookmarkStart w:id="26" w:name="数据链路层基本概念"/>
      <w:bookmarkEnd w:id="26"/>
      <w:r>
        <w:t xml:space="preserve">数据链路层基本概念</w:t>
      </w:r>
    </w:p>
    <w:p>
      <w:pPr>
        <w:numPr>
          <w:numId w:val="1001"/>
          <w:ilvl w:val="0"/>
        </w:numPr>
      </w:pPr>
      <w:r>
        <w:rPr>
          <w:b/>
        </w:rPr>
        <w:t xml:space="preserve">结点</w:t>
      </w:r>
      <w:r>
        <w:t xml:space="preserve">：主机、路由器</w:t>
      </w:r>
    </w:p>
    <w:p>
      <w:pPr>
        <w:numPr>
          <w:numId w:val="1001"/>
          <w:ilvl w:val="0"/>
        </w:numPr>
      </w:pPr>
      <w:r>
        <w:rPr>
          <w:b/>
        </w:rPr>
        <w:t xml:space="preserve">链路</w:t>
      </w:r>
      <w:r>
        <w:t xml:space="preserve">：网络中两个结点之间的物理通道，链路的传输介质主要有双绞线、光纤和微波。分为有线链路、无线链路。</w:t>
      </w:r>
    </w:p>
    <w:p>
      <w:pPr>
        <w:numPr>
          <w:numId w:val="1001"/>
          <w:ilvl w:val="0"/>
        </w:numPr>
      </w:pPr>
      <w:r>
        <w:rPr>
          <w:b/>
        </w:rPr>
        <w:t xml:space="preserve">数据链路</w:t>
      </w:r>
      <w:r>
        <w:t xml:space="preserve">：网络中两个结点之间的逻辑通道，把实现控制数据传输协议的硬件和软件加到链路上就构成数据链路。</w:t>
      </w:r>
    </w:p>
    <w:p>
      <w:pPr>
        <w:numPr>
          <w:numId w:val="1001"/>
          <w:ilvl w:val="0"/>
        </w:numPr>
      </w:pPr>
      <w:r>
        <w:rPr>
          <w:b/>
        </w:rPr>
        <w:t xml:space="preserve">帧</w:t>
      </w:r>
      <w:r>
        <w:t xml:space="preserve">：链路层的协议数据单元，封装网络层数据报。数据链路层负责通过一条链路从一个结点向另一个物理链路直接相连的相邻结点传送数据报。</w:t>
      </w:r>
    </w:p>
    <w:p>
      <w:pPr>
        <w:pStyle w:val="Heading2"/>
      </w:pPr>
      <w:bookmarkStart w:id="27" w:name="数据链路层功能概述"/>
      <w:bookmarkEnd w:id="27"/>
      <w:r>
        <w:t xml:space="preserve">数据链路层功能概述</w:t>
      </w:r>
    </w:p>
    <w:p>
      <w:pPr>
        <w:numPr>
          <w:numId w:val="1002"/>
          <w:ilvl w:val="0"/>
        </w:numPr>
      </w:pPr>
      <w:r>
        <w:t xml:space="preserve">数据链路层在物理层提供服务的基础上向网络层提供服务，其最基本的服务是将源自网络层来的数据可靠地传输到相邻节点的目标杋网络层。其主要作用是加强物理层传输原始比特流的功能，将物理层提供的可能岀错的物理连接改造成为逻辑上无差错的数据链路，使之对网络层表现为一条无差错的链路。</w:t>
      </w:r>
    </w:p>
    <w:p>
      <w:pPr>
        <w:numPr>
          <w:numId w:val="1003"/>
          <w:ilvl w:val="0"/>
        </w:numPr>
      </w:pPr>
      <w:r>
        <w:rPr>
          <w:b/>
        </w:rPr>
        <w:t xml:space="preserve">功能一</w:t>
      </w:r>
      <w:r>
        <w:t xml:space="preserve">：为网络层提供服务。</w:t>
      </w:r>
      <w:r>
        <w:rPr>
          <w:shd w:val="clear" w:fill="ffff00"/>
        </w:rPr>
        <w:t>无确认无连接服务</w:t>
      </w:r>
      <w:r>
        <w:t xml:space="preserve">，</w:t>
      </w:r>
      <w:r>
        <w:rPr>
          <w:shd w:val="clear" w:fill="ffff00"/>
        </w:rPr>
        <w:t>有确认无连接服务</w:t>
      </w:r>
      <w:r>
        <w:t xml:space="preserve">，</w:t>
      </w:r>
      <w:r>
        <w:rPr>
          <w:shd w:val="clear" w:fill="ffff00"/>
        </w:rPr>
        <w:t>有确认面向连接服务</w:t>
      </w:r>
      <w:r>
        <w:t xml:space="preserve">。 （ 有连接一定有确认！）</w:t>
      </w:r>
    </w:p>
    <w:p>
      <w:pPr>
        <w:numPr>
          <w:numId w:val="1003"/>
          <w:ilvl w:val="0"/>
        </w:numPr>
      </w:pPr>
      <w:r>
        <w:t xml:space="preserve">功能二：链路管理，即连接的建立、维持、释放（用于面向连接的服务）</w:t>
      </w:r>
    </w:p>
    <w:p>
      <w:pPr>
        <w:numPr>
          <w:numId w:val="1003"/>
          <w:ilvl w:val="0"/>
        </w:numPr>
      </w:pPr>
      <w:r>
        <w:t xml:space="preserve">功能三：组帧</w:t>
      </w:r>
    </w:p>
    <w:p>
      <w:pPr>
        <w:numPr>
          <w:numId w:val="1003"/>
          <w:ilvl w:val="0"/>
        </w:numPr>
      </w:pPr>
      <w:r>
        <w:t xml:space="preserve">功能四：流量控制 （限制发送方）</w:t>
      </w:r>
    </w:p>
    <w:p>
      <w:pPr>
        <w:numPr>
          <w:numId w:val="1003"/>
          <w:ilvl w:val="0"/>
        </w:numPr>
      </w:pPr>
      <w:r>
        <w:t xml:space="preserve">功能五：差错控制（帧错/位错）</w:t>
      </w:r>
    </w:p>
    <w:p>
      <w:pPr>
        <w:pStyle w:val="Heading2"/>
      </w:pPr>
      <w:bookmarkStart w:id="28" w:name="封装成帧"/>
      <w:bookmarkEnd w:id="28"/>
      <w:r>
        <w:t xml:space="preserve">封装成帧</w:t>
      </w:r>
    </w:p>
    <w:p>
      <w:pPr>
        <w:numPr>
          <w:numId w:val="1004"/>
          <w:ilvl w:val="0"/>
        </w:numPr>
      </w:pPr>
      <w:r>
        <w:rPr>
          <w:b/>
        </w:rPr>
        <w:t xml:space="preserve">封装成帧</w:t>
      </w:r>
      <w:r>
        <w:t xml:space="preserve">就是在一段数据的前后部分添加首部和尾部，这样就构成了一个帧。接收端在收到物理层上交的比特流后，就能根据首部和尾部的标记，从收到的比特流中识别帧的开始和结東。</w:t>
      </w:r>
    </w:p>
    <w:p>
      <w:pPr>
        <w:numPr>
          <w:numId w:val="1004"/>
          <w:ilvl w:val="0"/>
        </w:numPr>
      </w:pPr>
      <w:r>
        <w:t xml:space="preserve">首部和尾部包含许多的控制信息，他们的一个重要作用：</w:t>
      </w:r>
      <w:r>
        <w:rPr>
          <w:shd w:val="clear" w:fill="ffff00"/>
        </w:rPr>
        <w:t>帧定界</w:t>
      </w:r>
      <w:r>
        <w:t xml:space="preserve">（确定帧的界限）。</w:t>
      </w:r>
    </w:p>
    <w:p>
      <w:pPr>
        <w:numPr>
          <w:numId w:val="1004"/>
          <w:ilvl w:val="0"/>
        </w:numPr>
      </w:pPr>
      <w:r>
        <w:rPr>
          <w:b/>
        </w:rPr>
        <w:t xml:space="preserve">帧同步</w:t>
      </w:r>
      <w:r>
        <w:t xml:space="preserve">：接收方应当能从接收到的二进制比特流中区分出帧的起始和终止。</w:t>
      </w:r>
    </w:p>
    <w:p>
      <w:pPr>
        <w:pStyle w:val="FigureWithCaption"/>
      </w:pPr>
      <w:r>
        <w:drawing>
          <wp:inline>
            <wp:extent cx="5334000" cy="1823460"/>
            <wp:effectExtent b="0" l="0" r="0" t="0"/>
            <wp:docPr descr="" title="" id="1" name="Picture"/>
            <a:graphic>
              <a:graphicData uri="http://schemas.openxmlformats.org/drawingml/2006/picture">
                <pic:pic>
                  <pic:nvPicPr>
                    <pic:cNvPr descr="https://img-blog.csdnimg.cn/61bfb187e2da4733a5d43fed2f8e8aa7.png?x-oss-process=image/watermark,type_ZmFuZ3poZW5naGVpdGk,shadow_10,text_aHR0cHM6Ly9ibG9nLmNzZG4ubmV0L1F1YW50dW1Zb3U=,size_16,color_FFFFFF,t_70" id="0" name="Picture"/>
                    <pic:cNvPicPr>
                      <a:picLocks noChangeArrowheads="1" noChangeAspect="1"/>
                    </pic:cNvPicPr>
                  </pic:nvPicPr>
                  <pic:blipFill>
                    <a:blip r:embed="rId31"/>
                    <a:stretch>
                      <a:fillRect/>
                    </a:stretch>
                  </pic:blipFill>
                  <pic:spPr bwMode="auto">
                    <a:xfrm>
                      <a:off x="0" y="0"/>
                      <a:ext cx="5334000" cy="1823460"/>
                    </a:xfrm>
                    <a:prstGeom prst="rect">
                      <a:avLst/>
                    </a:prstGeom>
                    <a:noFill/>
                    <a:ln w="9525">
                      <a:noFill/>
                      <a:headEnd/>
                      <a:tailEnd/>
                    </a:ln>
                  </pic:spPr>
                </pic:pic>
              </a:graphicData>
            </a:graphic>
          </wp:inline>
        </w:drawing>
      </w:r>
    </w:p>
    <w:p>
      <w:pPr>
        <w:pStyle w:val="ImageCaption"/>
      </w:pPr>
      <w:r>
        <w:t xml:space="preserve"/>
      </w:r>
    </w:p>
    <w:p>
      <w:pPr>
        <w:pStyle w:val="BodyText"/>
      </w:pPr>
      <w:r>
        <w:t xml:space="preserve"/>
      </w:r>
    </w:p>
    <w:p>
      <w:pPr>
        <w:pStyle w:val="Heading2"/>
      </w:pPr>
      <w:bookmarkStart w:id="32" w:name="透明传输"/>
      <w:bookmarkEnd w:id="32"/>
      <w:r>
        <w:t xml:space="preserve">透明传输</w:t>
      </w:r>
    </w:p>
    <w:p>
      <w:pPr>
        <w:numPr>
          <w:numId w:val="1005"/>
          <w:ilvl w:val="0"/>
        </w:numPr>
      </w:pPr>
      <w:r>
        <w:t xml:space="preserve">透明传输是指不管所传数据是什么样的比特组合，都应当能够在链路上传送。因此，链路层就“看不见”有什么妨碍数据传输的东西。</w:t>
      </w:r>
    </w:p>
    <w:p>
      <w:pPr>
        <w:numPr>
          <w:numId w:val="1005"/>
          <w:ilvl w:val="0"/>
        </w:numPr>
      </w:pPr>
      <w:r>
        <w:t xml:space="preserve">当所传数据中的比特组合恰巧与某一个控制信息完全一样时，就必须采取适当的措施，使收方不会将这样的数据误认为是某种控制信息。这样才能保证数据链路层的传输是透明的</w:t>
      </w:r>
    </w:p>
    <w:p>
      <w:pPr>
        <w:numPr>
          <w:numId w:val="1005"/>
          <w:ilvl w:val="0"/>
        </w:numPr>
      </w:pPr>
      <w:r>
        <w:rPr>
          <w:b/>
        </w:rPr>
        <w:t xml:space="preserve">组帧的四种方法</w:t>
      </w:r>
      <w:r>
        <w:t xml:space="preserve">：1.字符计数法，2.字符（节）填充法，3.零比特填充法，4.违规编码法</w:t>
      </w:r>
    </w:p>
    <w:p>
      <w:pPr>
        <w:pStyle w:val="Heading2"/>
      </w:pPr>
      <w:bookmarkStart w:id="33" w:name="组帧的四种方法"/>
      <w:bookmarkEnd w:id="33"/>
      <w:r>
        <w:t xml:space="preserve">组帧的四种方法</w:t>
      </w:r>
    </w:p>
    <w:p>
      <w:pPr>
        <w:pStyle w:val="Heading3"/>
      </w:pPr>
      <w:bookmarkStart w:id="34" w:name="字符计数法"/>
      <w:bookmarkEnd w:id="34"/>
      <w:r>
        <w:t xml:space="preserve">字符计数法</w:t>
      </w:r>
    </w:p>
    <w:p>
      <w:pPr>
        <w:numPr>
          <w:numId w:val="1006"/>
          <w:ilvl w:val="0"/>
        </w:numPr>
      </w:pPr>
      <w:r>
        <w:rPr>
          <w:shd w:val="clear" w:fill="ffff00"/>
        </w:rPr>
        <w:t>帧首部</w:t>
      </w:r>
      <w:r>
        <w:t xml:space="preserve">使用一个计数字段(第一个字节，八位)来标明帧内字符数</w:t>
      </w:r>
    </w:p>
    <w:p>
      <w:pPr>
        <w:pStyle w:val="FigureWithCaption"/>
      </w:pPr>
      <w:r>
        <w:drawing>
          <wp:inline>
            <wp:extent cx="5334000" cy="1404700"/>
            <wp:effectExtent b="0" l="0" r="0" t="0"/>
            <wp:docPr descr="" title="" id="1" name="Picture"/>
            <a:graphic>
              <a:graphicData uri="http://schemas.openxmlformats.org/drawingml/2006/picture">
                <pic:pic>
                  <pic:nvPicPr>
                    <pic:cNvPr descr="https://img-blog.csdnimg.cn/4e96b8ea29d34571a826202f7e494325.png?x-oss-process=image/watermark,type_ZmFuZ3poZW5naGVpdGk,shadow_10,text_aHR0cHM6Ly9ibG9nLmNzZG4ubmV0L1F1YW50dW1Zb3U=,size_16,color_FFFFFF,t_70" id="0" name="Picture"/>
                    <pic:cNvPicPr>
                      <a:picLocks noChangeArrowheads="1" noChangeAspect="1"/>
                    </pic:cNvPicPr>
                  </pic:nvPicPr>
                  <pic:blipFill>
                    <a:blip r:embed="rId37"/>
                    <a:stretch>
                      <a:fillRect/>
                    </a:stretch>
                  </pic:blipFill>
                  <pic:spPr bwMode="auto">
                    <a:xfrm>
                      <a:off x="0" y="0"/>
                      <a:ext cx="5334000" cy="1404700"/>
                    </a:xfrm>
                    <a:prstGeom prst="rect">
                      <a:avLst/>
                    </a:prstGeom>
                    <a:noFill/>
                    <a:ln w="9525">
                      <a:noFill/>
                      <a:headEnd/>
                      <a:tailEnd/>
                    </a:ln>
                  </pic:spPr>
                </pic:pic>
              </a:graphicData>
            </a:graphic>
          </wp:inline>
        </w:drawing>
      </w:r>
    </w:p>
    <w:p>
      <w:pPr>
        <w:pStyle w:val="ImageCaption"/>
      </w:pPr>
      <w:r>
        <w:t xml:space="preserve"/>
      </w:r>
    </w:p>
    <w:p>
      <w:pPr>
        <w:pStyle w:val="Heading3"/>
      </w:pPr>
      <w:bookmarkStart w:id="38" w:name="字符填充法"/>
      <w:bookmarkEnd w:id="38"/>
      <w:r>
        <w:t xml:space="preserve">字符填充法</w:t>
      </w:r>
    </w:p>
    <w:p>
      <w:pPr>
        <w:pStyle w:val="FirstParagraph"/>
      </w:pPr>
      <w:r>
        <w:drawing>
          <wp:inline>
            <wp:extent cx="5334000" cy="2286000"/>
            <wp:effectExtent b="0" l="0" r="0" t="0"/>
            <wp:docPr descr="" title="fig:" id="1" name="Picture"/>
            <a:graphic>
              <a:graphicData uri="http://schemas.openxmlformats.org/drawingml/2006/picture">
                <pic:pic>
                  <pic:nvPicPr>
                    <pic:cNvPr descr="https://img-blog.csdnimg.cn/dd8b84779f0d4a7da8a6b43946d4f58e.png?x-oss-process=image/watermark,type_ZmFuZ3poZW5naGVpdGk,shadow_10,text_aHR0cHM6Ly9ibG9nLmNzZG4ubmV0L1F1YW50dW1Zb3U=,size_16,color_FFFFFF,t_70" id="0" name="Picture"/>
                    <pic:cNvPicPr>
                      <a:picLocks noChangeArrowheads="1" noChangeAspect="1"/>
                    </pic:cNvPicPr>
                  </pic:nvPicPr>
                  <pic:blipFill>
                    <a:blip r:embed="rId41"/>
                    <a:stretch>
                      <a:fillRect/>
                    </a:stretch>
                  </pic:blipFill>
                  <pic:spPr bwMode="auto">
                    <a:xfrm>
                      <a:off x="0" y="0"/>
                      <a:ext cx="5334000" cy="2286000"/>
                    </a:xfrm>
                    <a:prstGeom prst="rect">
                      <a:avLst/>
                    </a:prstGeom>
                    <a:noFill/>
                    <a:ln w="9525">
                      <a:noFill/>
                      <a:headEnd/>
                      <a:tailEnd/>
                    </a:ln>
                  </pic:spPr>
                </pic:pic>
              </a:graphicData>
            </a:graphic>
          </wp:inline>
        </w:drawing>
      </w:r>
      <w:r>
        <w:br w:type="textWrapping"/>
      </w:r>
      <w:r>
        <w:drawing>
          <wp:inline>
            <wp:extent cx="5334000" cy="2277521"/>
            <wp:effectExtent b="0" l="0" r="0" t="0"/>
            <wp:docPr descr="" title="fig:" id="1" name="Picture"/>
            <a:graphic>
              <a:graphicData uri="http://schemas.openxmlformats.org/drawingml/2006/picture">
                <pic:pic>
                  <pic:nvPicPr>
                    <pic:cNvPr descr="https://img-blog.csdnimg.cn/4be1f93638fa4a44aca6f78d4e612933.png?x-oss-process=image/watermark,type_ZmFuZ3poZW5naGVpdGk,shadow_10,text_aHR0cHM6Ly9ibG9nLmNzZG4ubmV0L1F1YW50dW1Zb3U=,size_16,color_FFFFFF,t_70" id="0" name="Picture"/>
                    <pic:cNvPicPr>
                      <a:picLocks noChangeArrowheads="1" noChangeAspect="1"/>
                    </pic:cNvPicPr>
                  </pic:nvPicPr>
                  <pic:blipFill>
                    <a:blip r:embed="rId44"/>
                    <a:stretch>
                      <a:fillRect/>
                    </a:stretch>
                  </pic:blipFill>
                  <pic:spPr bwMode="auto">
                    <a:xfrm>
                      <a:off x="0" y="0"/>
                      <a:ext cx="5334000" cy="2277521"/>
                    </a:xfrm>
                    <a:prstGeom prst="rect">
                      <a:avLst/>
                    </a:prstGeom>
                    <a:noFill/>
                    <a:ln w="9525">
                      <a:noFill/>
                      <a:headEnd/>
                      <a:tailEnd/>
                    </a:ln>
                  </pic:spPr>
                </pic:pic>
              </a:graphicData>
            </a:graphic>
          </wp:inline>
        </w:drawing>
      </w:r>
    </w:p>
    <w:p>
      <w:pPr>
        <w:pStyle w:val="Heading3"/>
      </w:pPr>
      <w:bookmarkStart w:id="45" w:name="零比特填充法"/>
      <w:bookmarkEnd w:id="45"/>
      <w:r>
        <w:t xml:space="preserve">零比特填充法</w:t>
      </w:r>
    </w:p>
    <w:p>
      <w:pPr>
        <w:pStyle w:val="FigureWithCaption"/>
      </w:pPr>
      <w:r>
        <w:drawing>
          <wp:inline>
            <wp:extent cx="5334000" cy="2375613"/>
            <wp:effectExtent b="0" l="0" r="0" t="0"/>
            <wp:docPr descr="" title="" id="1" name="Picture"/>
            <a:graphic>
              <a:graphicData uri="http://schemas.openxmlformats.org/drawingml/2006/picture">
                <pic:pic>
                  <pic:nvPicPr>
                    <pic:cNvPr descr="https://img-blog.csdnimg.cn/013efcc1fab84d0394617114ea2440aa.png?x-oss-process=image/watermark,type_ZmFuZ3poZW5naGVpdGk,shadow_10,text_aHR0cHM6Ly9ibG9nLmNzZG4ubmV0L1F1YW50dW1Zb3U=,size_16,color_FFFFFF,t_70" id="0" name="Picture"/>
                    <pic:cNvPicPr>
                      <a:picLocks noChangeArrowheads="1" noChangeAspect="1"/>
                    </pic:cNvPicPr>
                  </pic:nvPicPr>
                  <pic:blipFill>
                    <a:blip r:embed="rId48"/>
                    <a:stretch>
                      <a:fillRect/>
                    </a:stretch>
                  </pic:blipFill>
                  <pic:spPr bwMode="auto">
                    <a:xfrm>
                      <a:off x="0" y="0"/>
                      <a:ext cx="5334000" cy="2375613"/>
                    </a:xfrm>
                    <a:prstGeom prst="rect">
                      <a:avLst/>
                    </a:prstGeom>
                    <a:noFill/>
                    <a:ln w="9525">
                      <a:noFill/>
                      <a:headEnd/>
                      <a:tailEnd/>
                    </a:ln>
                  </pic:spPr>
                </pic:pic>
              </a:graphicData>
            </a:graphic>
          </wp:inline>
        </w:drawing>
      </w:r>
    </w:p>
    <w:p>
      <w:pPr>
        <w:pStyle w:val="ImageCaption"/>
      </w:pPr>
      <w:r>
        <w:t xml:space="preserve"/>
      </w:r>
    </w:p>
    <w:p>
      <w:pPr>
        <w:pStyle w:val="Heading3"/>
      </w:pPr>
      <w:bookmarkStart w:id="49" w:name="违规编码法"/>
      <w:bookmarkEnd w:id="49"/>
      <w:r>
        <w:t xml:space="preserve">违规编码法</w:t>
      </w:r>
    </w:p>
    <w:p>
      <w:pPr>
        <w:pStyle w:val="FigureWithCaption"/>
      </w:pPr>
      <w:r>
        <w:drawing>
          <wp:inline>
            <wp:extent cx="5334000" cy="1839310"/>
            <wp:effectExtent b="0" l="0" r="0" t="0"/>
            <wp:docPr descr="" title="" id="1" name="Picture"/>
            <a:graphic>
              <a:graphicData uri="http://schemas.openxmlformats.org/drawingml/2006/picture">
                <pic:pic>
                  <pic:nvPicPr>
                    <pic:cNvPr descr="https://img-blog.csdnimg.cn/50bec271a6364fb9a1a0266e41bdfbf3.png?x-oss-process=image/watermark,type_ZmFuZ3poZW5naGVpdGk,shadow_10,text_aHR0cHM6Ly9ibG9nLmNzZG4ubmV0L1F1YW50dW1Zb3U=,size_16,color_FFFFFF,t_70" id="0" name="Picture"/>
                    <pic:cNvPicPr>
                      <a:picLocks noChangeArrowheads="1" noChangeAspect="1"/>
                    </pic:cNvPicPr>
                  </pic:nvPicPr>
                  <pic:blipFill>
                    <a:blip r:embed="rId52"/>
                    <a:stretch>
                      <a:fillRect/>
                    </a:stretch>
                  </pic:blipFill>
                  <pic:spPr bwMode="auto">
                    <a:xfrm>
                      <a:off x="0" y="0"/>
                      <a:ext cx="5334000" cy="1839310"/>
                    </a:xfrm>
                    <a:prstGeom prst="rect">
                      <a:avLst/>
                    </a:prstGeom>
                    <a:noFill/>
                    <a:ln w="9525">
                      <a:noFill/>
                      <a:headEnd/>
                      <a:tailEnd/>
                    </a:ln>
                  </pic:spPr>
                </pic:pic>
              </a:graphicData>
            </a:graphic>
          </wp:inline>
        </w:drawing>
      </w:r>
    </w:p>
    <w:p>
      <w:pPr>
        <w:pStyle w:val="ImageCaption"/>
      </w:pPr>
      <w:r>
        <w:t xml:space="preserve"/>
      </w:r>
    </w:p>
    <w:p>
      <w:pPr>
        <w:pStyle w:val="BodyText"/>
      </w:pPr>
      <w:r>
        <w:t xml:space="preserve">上述四种组帧方式的总结</w:t>
      </w:r>
    </w:p>
    <w:p>
      <w:pPr>
        <w:numPr>
          <w:numId w:val="1007"/>
          <w:ilvl w:val="0"/>
        </w:numPr>
      </w:pPr>
      <w:r>
        <w:t xml:space="preserve">由于字节计数法中 Count字段的脆弱性（其值若有差错将导致灾难性后果）及字符填充实现上的复杂性和不兼容性，目前较普遍使用的帧同步法是</w:t>
      </w:r>
      <w:r>
        <w:rPr>
          <w:b/>
        </w:rPr>
        <w:t xml:space="preserve">比特填充</w:t>
      </w:r>
      <w:r>
        <w:t xml:space="preserve">和</w:t>
      </w:r>
      <w:r>
        <w:rPr>
          <w:b/>
        </w:rPr>
        <w:t xml:space="preserve">违规编码法</w:t>
      </w:r>
      <w:r>
        <w:t xml:space="preserve">。</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64b68774"/>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be990d25"/>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411">
    <w:nsid w:val="4d4ff8af"/>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num w:numId="1">
    <w:abstractNumId w:val="0"/>
  </w:num>
  <w:num w:numId="1000">
    <w:abstractNumId w:val="990"/>
  </w:num>
  <w:num w:numId="1001">
    <w:abstractNumId w:val="991"/>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4">
    <w:abstractNumId w:val="991"/>
  </w:num>
  <w:num w:numId="1005">
    <w:abstractNumId w:val="991"/>
  </w:num>
  <w:num w:numId="1006">
    <w:abstractNumId w:val="991"/>
  </w:num>
  <w:num w:numId="1007">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48" Target="media/rId48.png" /><Relationship Type="http://schemas.openxmlformats.org/officeDocument/2006/relationships/image" Id="rId44" Target="media/rId44.png" /><Relationship Type="http://schemas.openxmlformats.org/officeDocument/2006/relationships/image" Id="rId37" Target="media/rId37.png" /><Relationship Type="http://schemas.openxmlformats.org/officeDocument/2006/relationships/image" Id="rId52" Target="media/rId52.png" /><Relationship Type="http://schemas.openxmlformats.org/officeDocument/2006/relationships/image" Id="rId31" Target="media/rId31.png" /><Relationship Type="http://schemas.openxmlformats.org/officeDocument/2006/relationships/image" Id="rId24" Target="media/rId24.png" /><Relationship Type="http://schemas.openxmlformats.org/officeDocument/2006/relationships/image" Id="rId41" Target="media/rId41.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terms:created xsi:type="dcterms:W3CDTF">2021-07-24T11:47:32Z</dcterms:created>
  <dcterms:modified xsi:type="dcterms:W3CDTF">2021-07-24T11:47:32Z</dcterms:modified>
</cp:coreProperties>
</file>