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2.png" ContentType="image/png"/>
  <Override PartName="/word/media/rId59.png" ContentType="image/png"/>
  <Override PartName="/word/media/rId25.png" ContentType="image/png"/>
  <Override PartName="/word/media/rId52.png" ContentType="image/png"/>
  <Override PartName="/word/media/rId48.png" ContentType="image/png"/>
  <Override PartName="/word/media/rId55.png" ContentType="image/png"/>
  <Override PartName="/word/media/rId36.png" ContentType="image/png"/>
  <Override PartName="/word/media/rId40.png" ContentType="image/png"/>
  <Override PartName="/word/media/rId29.png" ContentType="image/png"/>
  <Override PartName="/word/media/rId4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按照自己的节奏，竭尽全力（剩下的都留给命运）</w:t>
      </w:r>
      <w:r>
        <w:br w:type="textWrapping"/>
      </w:r>
      <w:r>
        <w:t xml:space="preserve">你一定要做自己，做自己喜欢的事，然后把自己交给命运</w:t>
      </w:r>
      <w:r>
        <w:t xml:space="preserve"> </w:t>
      </w:r>
      <w:r>
        <w:br w:type="textWrapping"/>
      </w:r>
      <w:r>
        <w:t xml:space="preserve">加油！当自己的实力不能满足自己的目标时，</w:t>
      </w:r>
      <w:r>
        <w:rPr>
          <w:b/>
        </w:rPr>
        <w:t xml:space="preserve">就静下心去学习！</w:t>
      </w:r>
    </w:p>
    <w:p>
      <w:pPr>
        <w:pStyle w:val="FirstParagraph"/>
      </w:pPr>
      <w:r>
        <w:t xml:space="preserve">@[toc]</w:t>
      </w:r>
    </w:p>
    <w:p>
      <w:pPr>
        <w:pStyle w:val="Heading2"/>
      </w:pPr>
      <w:bookmarkStart w:id="21" w:name="传输数据采用的两种链路"/>
      <w:bookmarkEnd w:id="21"/>
      <w:r>
        <w:t xml:space="preserve">传输数据采用的两种链路</w:t>
      </w:r>
    </w:p>
    <w:p>
      <w:pPr>
        <w:numPr>
          <w:numId w:val="1001"/>
          <w:ilvl w:val="0"/>
        </w:numPr>
      </w:pPr>
      <w:r>
        <w:rPr>
          <w:b/>
        </w:rPr>
        <w:t xml:space="preserve">点对点链路</w:t>
      </w:r>
      <w:r>
        <w:t xml:space="preserve"> </w:t>
      </w:r>
      <w:r>
        <w:t xml:space="preserve">： 两个相邻节点通过一个链路相连，没有第三者</w:t>
      </w:r>
      <w:r>
        <w:br w:type="textWrapping"/>
      </w:r>
      <w:r>
        <w:t xml:space="preserve">应用：PPP协议，常用于</w:t>
      </w:r>
      <w:r>
        <w:rPr>
          <w:shd w:val="clear" w:fill="ffff00"/>
        </w:rPr>
        <w:t>广域网</w:t>
      </w:r>
      <w:r>
        <w:t xml:space="preserve">。</w:t>
      </w:r>
    </w:p>
    <w:p>
      <w:pPr>
        <w:numPr>
          <w:numId w:val="1001"/>
          <w:ilvl w:val="0"/>
        </w:numPr>
      </w:pPr>
      <w:r>
        <w:rPr>
          <w:b/>
        </w:rPr>
        <w:t xml:space="preserve">广播式链路</w:t>
      </w:r>
      <w:r>
        <w:t xml:space="preserve">：所有主机共享通信介质</w:t>
      </w:r>
      <w:r>
        <w:br w:type="textWrapping"/>
      </w:r>
      <w:r>
        <w:t xml:space="preserve">应用：早期的总线以太网、无线局域网，常用于</w:t>
      </w:r>
      <w:r>
        <w:rPr>
          <w:shd w:val="clear" w:fill="ffff00"/>
        </w:rPr>
        <w:t>局域网</w:t>
      </w:r>
      <w:r>
        <w:br w:type="textWrapping"/>
      </w:r>
      <w:r>
        <w:t xml:space="preserve">典型拓扑结构：总线型、星型（逻辑总线型）</w:t>
      </w:r>
    </w:p>
    <w:p>
      <w:pPr>
        <w:pStyle w:val="Heading2"/>
      </w:pPr>
      <w:bookmarkStart w:id="22" w:name="介质访问控制"/>
      <w:bookmarkEnd w:id="22"/>
      <w:r>
        <w:t xml:space="preserve">介质访问控制</w:t>
      </w:r>
    </w:p>
    <w:p>
      <w:pPr>
        <w:numPr>
          <w:numId w:val="1002"/>
          <w:ilvl w:val="0"/>
        </w:numPr>
      </w:pPr>
      <w:r>
        <w:rPr>
          <w:b/>
        </w:rPr>
        <w:t xml:space="preserve">介质访问控制</w:t>
      </w:r>
      <w:r>
        <w:t xml:space="preserve">的内容就是，采取一定的措施，使得两对节点之间的通信不会发生互相干扰的情况。</w:t>
      </w:r>
    </w:p>
    <w:p>
      <w:pPr>
        <w:pStyle w:val="FigureWithCaption"/>
      </w:pPr>
      <w:r>
        <w:drawing>
          <wp:inline>
            <wp:extent cx="5334000" cy="24696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1ffe31e5aeca446fa710d5a2f10f429f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26" w:name="信道划分介质访问控制"/>
      <w:bookmarkEnd w:id="26"/>
      <w:r>
        <w:t xml:space="preserve">信道划分介质访问控制</w:t>
      </w:r>
    </w:p>
    <w:p>
      <w:pPr>
        <w:numPr>
          <w:numId w:val="1003"/>
          <w:ilvl w:val="0"/>
        </w:numPr>
      </w:pPr>
      <w:r>
        <w:t xml:space="preserve">信道划分介质访问控制：将使用介质的每个设备与来自同一信道上的其他设备的</w:t>
      </w:r>
      <w:r>
        <w:rPr>
          <w:b/>
        </w:rPr>
        <w:t xml:space="preserve">通信隔离开</w:t>
      </w:r>
      <w:r>
        <w:t xml:space="preserve">，把</w:t>
      </w:r>
      <w:r>
        <w:rPr>
          <w:shd w:val="clear" w:fill="ffff00"/>
        </w:rPr>
        <w:t>时域</w:t>
      </w:r>
      <w:r>
        <w:t xml:space="preserve">和</w:t>
      </w:r>
      <w:r>
        <w:rPr>
          <w:shd w:val="clear" w:fill="ffff00"/>
        </w:rPr>
        <w:t>频域</w:t>
      </w:r>
      <w:r>
        <w:t xml:space="preserve">资源合理地分配给网络上的设备。</w:t>
      </w:r>
    </w:p>
    <w:p>
      <w:pPr>
        <w:pStyle w:val="FigureWithCaption"/>
      </w:pPr>
      <w:r>
        <w:drawing>
          <wp:inline>
            <wp:extent cx="5334000" cy="21768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84916dc13f544ff78ea618a549d87aa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6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0979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03a00af715564e9bbad85619430b59fc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4"/>
          <w:ilvl w:val="0"/>
        </w:numPr>
      </w:pPr>
      <w:r>
        <w:t xml:space="preserve">Frequency 频率</w:t>
      </w:r>
    </w:p>
    <w:p>
      <w:pPr>
        <w:numPr>
          <w:numId w:val="1004"/>
          <w:ilvl w:val="0"/>
        </w:numPr>
      </w:pPr>
      <w:r>
        <w:t xml:space="preserve">Time 时间</w:t>
      </w:r>
    </w:p>
    <w:p>
      <w:pPr>
        <w:numPr>
          <w:numId w:val="1004"/>
          <w:ilvl w:val="0"/>
        </w:numPr>
      </w:pPr>
      <w:r>
        <w:t xml:space="preserve">波分 Wide</w:t>
      </w:r>
    </w:p>
    <w:p>
      <w:pPr>
        <w:numPr>
          <w:numId w:val="1004"/>
          <w:ilvl w:val="0"/>
        </w:numPr>
      </w:pPr>
      <w:r>
        <w:t xml:space="preserve">码分 Code</w:t>
      </w:r>
    </w:p>
    <w:p>
      <w:pPr>
        <w:pStyle w:val="Heading3"/>
      </w:pPr>
      <w:bookmarkStart w:id="33" w:name="频分多路复用-fdm"/>
      <w:bookmarkEnd w:id="33"/>
      <w:r>
        <w:t xml:space="preserve">频分多路复用 FDM</w:t>
      </w:r>
    </w:p>
    <w:p>
      <w:pPr>
        <w:numPr>
          <w:numId w:val="1005"/>
          <w:ilvl w:val="0"/>
        </w:numPr>
      </w:pPr>
      <w:r>
        <w:t xml:space="preserve">用户在分配到一定的频带后，在通信过程中自始至终都占用这个频带。频分复用的所有用户在同样的时间占用不同的带宽（频率带宽）资源 , 充分利用传输介质带宽，系统效率较高 ,由于技术比较成熟，实现也比较容易。</w:t>
      </w:r>
    </w:p>
    <w:p>
      <w:pPr>
        <w:pStyle w:val="FigureWithCaption"/>
      </w:pPr>
      <w:r>
        <w:drawing>
          <wp:inline>
            <wp:extent cx="5334000" cy="28041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766de8e838d94d89a6ae1bf45eb47fda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37" w:name="时分多路复用--tdm"/>
      <w:bookmarkEnd w:id="37"/>
      <w:r>
        <w:t xml:space="preserve">时分多路复用 TDM</w:t>
      </w:r>
    </w:p>
    <w:p>
      <w:pPr>
        <w:numPr>
          <w:numId w:val="1006"/>
          <w:ilvl w:val="0"/>
        </w:numPr>
      </w:pPr>
      <w:r>
        <w:t xml:space="preserve">将时间划分为一段段等长的时分复用帧（TDM帧）。每一个时分复用的用户在每一个TDM帧中占用固定序号的时隙，所有用户轮流占用信道</w:t>
      </w:r>
    </w:p>
    <w:p>
      <w:pPr>
        <w:numPr>
          <w:numId w:val="1006"/>
          <w:ilvl w:val="0"/>
        </w:numPr>
      </w:pPr>
      <w:r>
        <w:t xml:space="preserve">TDM帧是在物理层传送的比特流所划分的帧，标志一个周期。</w:t>
      </w:r>
    </w:p>
    <w:p>
      <w:pPr>
        <w:pStyle w:val="FirstParagraph"/>
      </w:pPr>
      <w:r>
        <w:drawing>
          <wp:inline>
            <wp:extent cx="5334000" cy="280882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7c486325396b443baa047fa98e360bbc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8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TIps</w:t>
      </w:r>
    </w:p>
    <w:p>
      <w:pPr>
        <w:numPr>
          <w:numId w:val="1007"/>
          <w:ilvl w:val="0"/>
        </w:numPr>
      </w:pPr>
      <w:r>
        <w:t xml:space="preserve">频分复用 —— 并行</w:t>
      </w:r>
    </w:p>
    <w:p>
      <w:pPr>
        <w:numPr>
          <w:numId w:val="1007"/>
          <w:ilvl w:val="0"/>
        </w:numPr>
      </w:pPr>
      <w:r>
        <w:t xml:space="preserve">时分复用 —— 并发</w:t>
      </w:r>
    </w:p>
    <w:p>
      <w:pPr>
        <w:pStyle w:val="Heading3"/>
      </w:pPr>
      <w:bookmarkStart w:id="41" w:name="改进的时分复用一一统计时分复用stdm"/>
      <w:bookmarkEnd w:id="41"/>
      <w:r>
        <w:t xml:space="preserve">改进的时分复用一一统计时分复用STDM</w:t>
      </w:r>
    </w:p>
    <w:p>
      <w:pPr>
        <w:numPr>
          <w:numId w:val="1008"/>
          <w:ilvl w:val="0"/>
        </w:numPr>
      </w:pPr>
      <w:r>
        <w:t xml:space="preserve">每一个STDM帧中的时隙数小于连接在集中器上的用户数。各用户有了数据就随时发往集中器的</w:t>
      </w:r>
      <w:r>
        <w:rPr>
          <w:shd w:val="clear" w:fill="ffff00"/>
        </w:rPr>
        <w:t>输入缓存</w:t>
      </w:r>
      <w:r>
        <w:t xml:space="preserve">，然后集中器按顺序依次扫描输入缓存，把缓存中的输入数据放入STDM帧中，一个STDM帧满了就发出。</w:t>
      </w:r>
      <w:r>
        <w:rPr>
          <w:b/>
        </w:rPr>
        <w:t xml:space="preserve">STDM帧不是固定分配时隙，而是按需动态分配时隙。</w:t>
      </w:r>
    </w:p>
    <w:p>
      <w:pPr>
        <w:pStyle w:val="FigureWithCaption"/>
      </w:pPr>
      <w:r>
        <w:drawing>
          <wp:inline>
            <wp:extent cx="5334000" cy="17366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ee31a5df2dd64c23b70e8029d02ef9d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45" w:name="波分多路复用wdm"/>
      <w:bookmarkEnd w:id="45"/>
      <w:r>
        <w:t xml:space="preserve">波分多路复用WDM</w:t>
      </w:r>
    </w:p>
    <w:p>
      <w:pPr>
        <w:pStyle w:val="FirstParagraph"/>
      </w:pPr>
      <w:r>
        <w:t xml:space="preserve">不经常考</w:t>
      </w:r>
    </w:p>
    <w:p>
      <w:pPr>
        <w:numPr>
          <w:numId w:val="1009"/>
          <w:ilvl w:val="0"/>
        </w:numPr>
      </w:pPr>
      <w:r>
        <w:t xml:space="preserve">波分多路复用就是</w:t>
      </w:r>
      <w:r>
        <w:rPr>
          <w:b/>
        </w:rPr>
        <w:t xml:space="preserve">光的频分多路复用</w:t>
      </w:r>
      <w:r>
        <w:t xml:space="preserve">，在一根光纤中传输多种不同波长（频率）的光信号，由于波长（频率）不同，所以各路光信号互不干扰，最后再用波长分解复用器将各路波长分解出来。</w:t>
      </w:r>
    </w:p>
    <w:p>
      <w:pPr>
        <w:pStyle w:val="FigureWithCaption"/>
      </w:pPr>
      <w:r>
        <w:drawing>
          <wp:inline>
            <wp:extent cx="5334000" cy="1833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547219457d6d4217bc82911d2cd6b4da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49" w:name="码分多路复用-cdm"/>
      <w:bookmarkEnd w:id="49"/>
      <w:r>
        <w:t xml:space="preserve">码分多路复用 CDM</w:t>
      </w:r>
    </w:p>
    <w:p>
      <w:pPr>
        <w:numPr>
          <w:numId w:val="1010"/>
          <w:ilvl w:val="0"/>
        </w:numPr>
      </w:pPr>
      <w:r>
        <w:t xml:space="preserve">发送 0 表示为发送该序列的反码</w:t>
      </w:r>
    </w:p>
    <w:p>
      <w:pPr>
        <w:pStyle w:val="FigureWithCaption"/>
      </w:pPr>
      <w:r>
        <w:drawing>
          <wp:inline>
            <wp:extent cx="5334000" cy="60247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3a2dff4512b14c7ba29e8c480a897da4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FigureWithCaption"/>
      </w:pPr>
      <w:r>
        <w:drawing>
          <wp:inline>
            <wp:extent cx="5334000" cy="27223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5c5173df08464e91a32dd8ae4f57f35b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56" w:name="小结思维导图"/>
      <w:bookmarkEnd w:id="56"/>
      <w:r>
        <w:t xml:space="preserve">小结思维导图</w:t>
      </w:r>
    </w:p>
    <w:p>
      <w:pPr>
        <w:pStyle w:val="FigureWithCaption"/>
      </w:pPr>
      <w:r>
        <w:drawing>
          <wp:inline>
            <wp:extent cx="5334000" cy="2850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15882caf03fb452cb042345998e3fbf7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0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11"/>
          <w:ilvl w:val="0"/>
        </w:numPr>
      </w:pPr>
      <w:r>
        <w:t xml:space="preserve">CD 不为动态</w:t>
      </w:r>
    </w:p>
    <w:p>
      <w:pPr>
        <w:numPr>
          <w:numId w:val="1011"/>
          <w:ilvl w:val="0"/>
        </w:numPr>
      </w:pPr>
      <w:r>
        <w:t xml:space="preserve">CS 为动态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82c3f7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14766b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2" Target="media/rId32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29" Target="media/rId29.png" /><Relationship Type="http://schemas.openxmlformats.org/officeDocument/2006/relationships/image" Id="rId44" Target="media/rId4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2021-07-27T08:19:30Z</dcterms:created>
  <dcterms:modified xsi:type="dcterms:W3CDTF">2021-07-27T08:19:30Z</dcterms:modified>
</cp:coreProperties>
</file>