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png" ContentType="image/png"/>
  <Override PartName="/word/media/rId28.png" ContentType="image/png"/>
  <Override PartName="/word/media/rId31.png" ContentType="image/png"/>
  <Override PartName="/word/media/rId35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73.png" ContentType="image/png"/>
  <Override PartName="/word/media/rId51.png" ContentType="image/png"/>
  <Override PartName="/word/media/rId54.png" ContentType="image/png"/>
  <Override PartName="/word/media/rId58.png" ContentType="image/png"/>
  <Override PartName="/word/media/rId61.png" ContentType="image/png"/>
  <Override PartName="/word/media/rId65.png" ContentType="image/png"/>
  <Override PartName="/word/media/rId6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BlockText"/>
      </w:pPr>
      <w:r>
        <w:t xml:space="preserve">一研为定，万山无阻 ！</w:t>
      </w:r>
    </w:p>
    <w:p>
      <w:pPr>
        <w:pStyle w:val="FirstParagraph"/>
      </w:pPr>
      <w:r>
        <w:t xml:space="preserve">@[toc]</w:t>
      </w:r>
    </w:p>
    <w:p>
      <w:pPr>
        <w:pStyle w:val="Heading1"/>
      </w:pPr>
      <w:bookmarkStart w:id="21" w:name="header-n4"/>
      <w:bookmarkEnd w:id="21"/>
      <w:r>
        <w:t xml:space="preserve">算术逻辑单元</w:t>
      </w:r>
    </w:p>
    <w:p>
      <w:pPr>
        <w:pStyle w:val="FigureWithCaption"/>
      </w:pPr>
      <w:r>
        <w:drawing>
          <wp:inline>
            <wp:extent cx="5334000" cy="299400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424211759809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4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numPr>
          <w:numId w:val="1001"/>
          <w:ilvl w:val="0"/>
        </w:numPr>
      </w:pPr>
      <w:r>
        <w:rPr>
          <w:rStyle w:val="VerbatimChar"/>
        </w:rPr>
        <w:t xml:space="preserve">M = 0</w:t>
      </w:r>
      <w:r>
        <w:t xml:space="preserve"> </w:t>
      </w:r>
      <w:r>
        <w:t xml:space="preserve">为 算术运算</w:t>
      </w:r>
      <w:r>
        <w:t xml:space="preserve"> </w:t>
      </w:r>
      <w:r>
        <w:rPr>
          <w:rStyle w:val="VerbatimChar"/>
        </w:rPr>
        <w:t xml:space="preserve">M = 1</w:t>
      </w:r>
      <w:r>
        <w:t xml:space="preserve"> </w:t>
      </w:r>
      <w:r>
        <w:t xml:space="preserve">为逻辑运算</w:t>
      </w:r>
      <w:r>
        <w:t xml:space="preserve"> </w:t>
      </w:r>
      <w:r>
        <w:rPr>
          <w:rStyle w:val="VerbatimChar"/>
        </w:rPr>
        <w:t xml:space="preserve">X</w:t>
      </w:r>
      <w:r>
        <w:t xml:space="preserve"> </w:t>
      </w:r>
      <w:r>
        <w:t xml:space="preserve">为寄存器</w:t>
      </w:r>
      <w:r>
        <w:t xml:space="preserve"> </w:t>
      </w:r>
    </w:p>
    <w:p>
      <w:pPr>
        <w:pStyle w:val="Heading2"/>
      </w:pPr>
      <w:bookmarkStart w:id="25" w:name="header-n8"/>
      <w:bookmarkEnd w:id="25"/>
      <w:r>
        <w:t xml:space="preserve">运算器的组成</w:t>
      </w:r>
    </w:p>
    <w:p>
      <w:pPr>
        <w:pStyle w:val="FirstParagraph"/>
      </w:pPr>
      <w:r>
        <w:drawing>
          <wp:inline>
            <wp:extent cx="5334000" cy="2637224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20210424213852316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7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>
            <wp:extent cx="5334000" cy="2628828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20210424214104744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8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2" w:name="header-n11"/>
      <w:bookmarkEnd w:id="32"/>
      <w:r>
        <w:t xml:space="preserve">全加器</w:t>
      </w:r>
    </w:p>
    <w:p>
      <w:pPr>
        <w:numPr>
          <w:numId w:val="1002"/>
          <w:ilvl w:val="0"/>
        </w:numPr>
      </w:pPr>
      <w:r>
        <w:t xml:space="preserve">一位全加器 （</w:t>
      </w:r>
      <w:r>
        <w:rPr>
          <w:shd w:val="clear" w:fill="ffff00"/>
        </w:rPr>
        <w:t>三输入两输出</w:t>
      </w:r>
      <w:r>
        <w:t xml:space="preserve">）</w:t>
      </w:r>
      <w:r>
        <w:br w:type="textWrapping"/>
      </w:r>
      <w:r>
        <w:drawing>
          <wp:inline>
            <wp:extent cx="5334000" cy="253871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20210425162428374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8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WithCaption"/>
      </w:pPr>
      <w:r>
        <w:drawing>
          <wp:inline>
            <wp:extent cx="5334000" cy="34711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425162628345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1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3"/>
      </w:pPr>
      <w:bookmarkStart w:id="39" w:name="header-n16"/>
      <w:bookmarkEnd w:id="39"/>
      <w:r>
        <w:t xml:space="preserve">串行加法器</w:t>
      </w:r>
    </w:p>
    <w:p>
      <w:pPr>
        <w:pStyle w:val="FigureWithCaption"/>
      </w:pPr>
      <w:r>
        <w:drawing>
          <wp:inline>
            <wp:extent cx="5334000" cy="252926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425163041937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9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3"/>
      </w:pPr>
      <w:bookmarkStart w:id="43" w:name="header-n18"/>
      <w:bookmarkEnd w:id="43"/>
      <w:r>
        <w:t xml:space="preserve">并行加法器</w:t>
      </w:r>
    </w:p>
    <w:p>
      <w:pPr>
        <w:pStyle w:val="FigureWithCaption"/>
      </w:pPr>
      <w:r>
        <w:drawing>
          <wp:inline>
            <wp:extent cx="5334000" cy="205521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425163434818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5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numPr>
          <w:numId w:val="1003"/>
          <w:ilvl w:val="0"/>
        </w:numPr>
      </w:pPr>
      <w:r>
        <w:t xml:space="preserve">串行进位又称为</w:t>
      </w:r>
      <w:r>
        <w:rPr>
          <w:b/>
        </w:rPr>
        <w:t xml:space="preserve">行波进位</w:t>
      </w:r>
      <w:r>
        <w:t xml:space="preserve">，每一级进位直接依赖于前一级的进位，即进位信号是逐级形成的</w:t>
      </w:r>
    </w:p>
    <w:p>
      <w:pPr>
        <w:pStyle w:val="Heading2"/>
      </w:pPr>
      <w:bookmarkStart w:id="47" w:name="header-n23"/>
      <w:bookmarkEnd w:id="47"/>
      <w:r>
        <w:t xml:space="preserve">加法器 ALU 改进 （了解）</w:t>
      </w:r>
    </w:p>
    <w:p>
      <w:pPr>
        <w:pStyle w:val="Heading3"/>
      </w:pPr>
      <w:bookmarkStart w:id="48" w:name="header-n24"/>
      <w:bookmarkEnd w:id="48"/>
      <w:r>
        <w:t xml:space="preserve">快速进位</w:t>
      </w:r>
    </w:p>
    <w:p>
      <w:pPr>
        <w:pStyle w:val="FirstParagraph"/>
      </w:pPr>
      <w:r>
        <w:drawing>
          <wp:inline>
            <wp:extent cx="5334000" cy="2390218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20210425165117857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0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>
            <wp:extent cx="5334000" cy="288653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20210425165507379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6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5" w:name="header-n26"/>
      <w:bookmarkEnd w:id="55"/>
      <w:r>
        <w:t xml:space="preserve">先行进位</w:t>
      </w:r>
    </w:p>
    <w:p>
      <w:pPr>
        <w:pStyle w:val="FigureWithCaption"/>
      </w:pPr>
      <w:r>
        <w:drawing>
          <wp:inline>
            <wp:extent cx="5334000" cy="24581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425170429128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8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FigureWithCaption"/>
      </w:pPr>
      <w:r>
        <w:drawing>
          <wp:inline>
            <wp:extent cx="5334000" cy="24491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425170752559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9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3"/>
      </w:pPr>
      <w:bookmarkStart w:id="62" w:name="header-n29"/>
      <w:bookmarkEnd w:id="62"/>
      <w:r>
        <w:t xml:space="preserve">ALU 优化</w:t>
      </w:r>
    </w:p>
    <w:p>
      <w:pPr>
        <w:pStyle w:val="FirstParagraph"/>
      </w:pPr>
      <w:r>
        <w:t xml:space="preserve">CU 控制单元</w:t>
      </w:r>
    </w:p>
    <w:p>
      <w:pPr>
        <w:pStyle w:val="FigureWithCaption"/>
      </w:pPr>
      <w:r>
        <w:drawing>
          <wp:inline>
            <wp:extent cx="5334000" cy="27607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425170906899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0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3"/>
      </w:pPr>
      <w:bookmarkStart w:id="66" w:name="header-n32"/>
      <w:bookmarkEnd w:id="66"/>
      <w:r>
        <w:t xml:space="preserve">改进路程</w:t>
      </w:r>
    </w:p>
    <w:p>
      <w:pPr>
        <w:pStyle w:val="FigureWithCaption"/>
      </w:pPr>
      <w:r>
        <w:drawing>
          <wp:inline>
            <wp:extent cx="5334000" cy="25056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42517104026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1"/>
      </w:pPr>
      <w:bookmarkStart w:id="70" w:name="header-n34"/>
      <w:bookmarkEnd w:id="70"/>
      <w:r>
        <w:t xml:space="preserve">总结</w:t>
      </w:r>
    </w:p>
    <w:p>
      <w:pPr>
        <w:pStyle w:val="FigureWithCaption"/>
      </w:pPr>
      <w:r>
        <w:drawing>
          <wp:inline>
            <wp:extent cx="5334000" cy="25798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425163615360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9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/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3196dbe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7f01e904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73" Target="media/rId73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2021-07-04T06:57:11Z</dcterms:created>
  <dcterms:modified xsi:type="dcterms:W3CDTF">2021-07-04T06:57:11Z</dcterms:modified>
</cp:coreProperties>
</file>