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A08E" w14:textId="55B43796" w:rsidR="00B862C1" w:rsidRDefault="00B862C1" w:rsidP="00B862C1">
      <w:r>
        <w:t>FORMATO DE PROYECTO FINAL</w:t>
      </w:r>
      <w:r w:rsidR="00632904">
        <w:t xml:space="preserve"> </w:t>
      </w:r>
      <w:r w:rsidR="001C5BB9">
        <w:t xml:space="preserve">TRABAJO INTERDISCIPLINAR </w:t>
      </w:r>
      <w:r w:rsidR="001A59C5">
        <w:t>–</w:t>
      </w:r>
      <w:r w:rsidR="00632904">
        <w:t xml:space="preserve"> 2026</w:t>
      </w:r>
    </w:p>
    <w:p w14:paraId="35B4A88B" w14:textId="77777777" w:rsidR="001A59C5" w:rsidRDefault="001A59C5" w:rsidP="00B862C1"/>
    <w:p w14:paraId="671E56D4" w14:textId="20727511" w:rsidR="00B862C1" w:rsidRDefault="00632904" w:rsidP="00B862C1">
      <w:r>
        <w:t>PORTADA</w:t>
      </w:r>
    </w:p>
    <w:p>
      <w:pPr>
        <w:spacing w:after="120"/>
      </w:pPr>
      <w:r>
        <w:t>FarmaChasqui</w:t>
        <w:br/>
        <w:t>Sistema conversacional para atención y pedidos permitidos en una botica mediana</w:t>
        <w:br/>
        <w:br/>
        <w:t>Integrantes:</w:t>
        <w:br/>
        <w:t>José Paredes Málaga</w:t>
        <w:br/>
        <w:t>Kenny Borja Valencia</w:t>
        <w:br/>
        <w:t>Johan Fabricio Lizarve Mamani</w:t>
        <w:br/>
        <w:br/>
        <w:t>Año 2026</w:t>
      </w:r>
    </w:p>
    <w:p w14:paraId="7BF0F388" w14:textId="4FFC57F1" w:rsidR="00B862C1" w:rsidRPr="00B862C1" w:rsidRDefault="00B862C1" w:rsidP="00B862C1">
      <w:r w:rsidRPr="00B862C1">
        <w:t>CAPÍTULO 1: ASPECTOS GENERALES</w:t>
      </w:r>
    </w:p>
    <w:p w14:paraId="65BBB2CC" w14:textId="77777777" w:rsidR="00B862C1" w:rsidRPr="00B862C1" w:rsidRDefault="00B862C1" w:rsidP="00B862C1">
      <w:r w:rsidRPr="00B862C1">
        <w:t>1. DEFINICIÓN DEL PROBLEMA</w:t>
      </w:r>
    </w:p>
    <w:p w14:paraId="41A78534" w14:textId="1E6EBDB8" w:rsidR="00B862C1" w:rsidRDefault="00B862C1" w:rsidP="00B862C1">
      <w:r>
        <w:t>FarmaChasqui atiende una necesidad recurrente de una botica mediana: responder consultas sobre productos, precios, disponibilidad y pedidos sin interrumpir continuamente la atención presencial. El problema incluye el riesgo de brindar una respuesta incompleta cuando la consulta involucra medicamentos sujetos a receta o asuntos que requieren criterio profesional.</w:t>
      </w:r>
    </w:p>
    <w:p w14:paraId="1EFB530C" w14:textId="4C524444" w:rsidR="00B862C1" w:rsidRDefault="00B862C1" w:rsidP="00B862C1">
      <w:r>
        <w:t>El proyecto se ubica en una botica mediana donde una asistente farmacéutica atiende consultas cotidianas y un químico farmacéutico experimentado es responsable de los casos que requieren validación. El catálogo, el stock y los precios pueden variar, por lo que la información que entrega el chatbot debe provenir de datos actualizados de la botica.</w:t>
      </w:r>
    </w:p>
    <w:p w14:paraId="4500D290" w14:textId="156B4017" w:rsidR="00B862C1" w:rsidRDefault="00B862C1" w:rsidP="00B862C1">
      <w:r>
        <w:t>La solución integra ingeniería de software, experiencia de usuario y conocimiento farmacéutico. El sistema automatiza la primera atención, consulta el catálogo y registra pedidos permitidos; la interfaz comunica los límites del chatbot y facilita la derivación; el químico farmacéutico define y valida las reglas de receta, seguridad y escalamiento. El chatbot no diagnostica, no prescribe ni confirma de forma automática una venta que requiera receta.</w:t>
      </w:r>
    </w:p>
    <w:p w14:paraId="5EC8D95E" w14:textId="77777777" w:rsidR="00B862C1" w:rsidRPr="00B862C1" w:rsidRDefault="00B862C1" w:rsidP="00B862C1"/>
    <w:p w14:paraId="123C0EE9" w14:textId="2514AF07" w:rsidR="00B862C1" w:rsidRDefault="00B862C1" w:rsidP="00B862C1">
      <w:r w:rsidRPr="00B862C1">
        <w:t>2. MISIÓN</w:t>
      </w:r>
    </w:p>
    <w:p w14:paraId="5C0BAA6F" w14:textId="77777777" w:rsidR="00632904" w:rsidRDefault="00632904" w:rsidP="00B862C1">
      <w:r>
        <w:t>Facilitar una atención inicial rápida, clara y responsable en boticas medianas mediante un asistente conversacional que informe, gestione pedidos permitidos y derive oportunamente los casos que requieren evaluación del químico farmacéutico.</w:t>
      </w:r>
    </w:p>
    <w:p w14:paraId="65F66C43" w14:textId="77777777" w:rsidR="00B862C1" w:rsidRDefault="00B862C1" w:rsidP="00B862C1">
      <w:r w:rsidRPr="00B862C1">
        <w:t>3. VISIÓN</w:t>
      </w:r>
    </w:p>
    <w:p w14:paraId="59B98D46" w14:textId="77777777" w:rsidR="00B862C1" w:rsidRPr="00B862C1" w:rsidRDefault="00B862C1" w:rsidP="00B862C1">
      <w:r>
        <w:t>Ser una solución de apoyo para la atención farmacéutica digital que mejore la experiencia del cliente sin sustituir el juicio profesional, manteniendo la seguridad del paciente, la protección de datos y el cumplimiento de la regulación sanitaria peruana.</w:t>
      </w:r>
    </w:p>
    <w:p w14:paraId="39A4342F" w14:textId="77777777" w:rsidR="00B862C1" w:rsidRDefault="00B862C1" w:rsidP="00B862C1">
      <w:r w:rsidRPr="00B862C1">
        <w:t>4. OBJETIVOS</w:t>
      </w:r>
    </w:p>
    <w:p w14:paraId="6F7DBBA5" w14:textId="62D2A4D4" w:rsidR="00B862C1" w:rsidRDefault="00B862C1" w:rsidP="00B862C1">
      <w:r>
        <w:t>Objetivo general: Diseñar y prototipar FarmaChasqui, un chatbot para una botica mediana que responda consultas de productos, precios, disponibilidad y pedidos permitidos, y que escale al químico farmacéutico los casos que necesitan receta o validación profesional.</w:t>
      </w:r>
    </w:p>
    <w:p w14:paraId="13222CA5" w14:textId="3D6322A8" w:rsidR="00B862C1" w:rsidRDefault="00B862C1" w:rsidP="00B862C1">
      <w:r>
        <w:t>Objetivos específicos:</w:t>
        <w:br/>
        <w:t>• Identificar los flujos de consulta más frecuentes.</w:t>
        <w:br/>
        <w:t>• Modelar un catálogo con precio, disponibilidad y condición de venta.</w:t>
        <w:br/>
        <w:t>• Implementar reglas para diferenciar pedidos permitidos de casos con receta o revisión profesional.</w:t>
        <w:br/>
        <w:t>• Diseñar una interfaz conversacional clara y accesible.</w:t>
        <w:br/>
        <w:t>• Evaluar la usabilidad, la clasificación de consultas y la derivación segura con escenarios simulados.</w:t>
      </w:r>
    </w:p>
    <w:p w14:paraId="5C1D3057" w14:textId="77777777" w:rsidR="00B862C1" w:rsidRPr="00B862C1" w:rsidRDefault="00B862C1" w:rsidP="00B862C1"/>
    <w:p w14:paraId="6B72D3DA" w14:textId="4D20A6C6" w:rsidR="00B862C1" w:rsidRPr="00B862C1" w:rsidRDefault="00B862C1" w:rsidP="00B862C1">
      <w:r w:rsidRPr="00B862C1">
        <w:t xml:space="preserve">3. </w:t>
      </w:r>
      <w:r w:rsidR="001C5BB9">
        <w:t>PARTICIPACIÓN DE LAS DISCIPLINAS</w:t>
      </w:r>
    </w:p>
    <w:p w14:paraId="773C5C24" w14:textId="1F18F2F3" w:rsidR="00B862C1" w:rsidRDefault="00B862C1" w:rsidP="00B862C1">
      <w:r>
        <w:t>Las personas involucradas participan desde la ingeniería de software, la experiencia de usuario, la gestión de datos y la práctica farmacéutica. La siguiente tabla reemplaza el ejemplo del formato y define los roles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C5BB9" w14:paraId="25F99A6B" w14:textId="77777777" w:rsidTr="001C5BB9">
        <w:tc>
          <w:tcPr>
            <w:tcW w:w="2831" w:type="dxa"/>
          </w:tcPr>
          <w:p w14:paraId="6EC76B1C" w14:textId="1555DD1E" w:rsidR="001C5BB9" w:rsidRDefault="001C5BB9" w:rsidP="00B862C1">
            <w:r>
              <w:t>Persona</w:t>
            </w:r>
          </w:p>
        </w:tc>
        <w:tc>
          <w:tcPr>
            <w:tcW w:w="2831" w:type="dxa"/>
          </w:tcPr>
          <w:p w14:paraId="7365041C" w14:textId="09A1CE3F" w:rsidR="001C5BB9" w:rsidRDefault="001C5BB9" w:rsidP="00B862C1">
            <w:r>
              <w:t>ÁREA</w:t>
            </w:r>
          </w:p>
        </w:tc>
        <w:tc>
          <w:tcPr>
            <w:tcW w:w="2832" w:type="dxa"/>
          </w:tcPr>
          <w:p w14:paraId="055B9897" w14:textId="4E64853C" w:rsidR="001C5BB9" w:rsidRDefault="001C5BB9" w:rsidP="00B862C1">
            <w:r>
              <w:t>Responsabilidad</w:t>
            </w:r>
          </w:p>
        </w:tc>
      </w:tr>
      <w:tr>
        <w:tc>
          <w:tcPr>
            <w:tcW w:type="dxa" w:w="2831"/>
          </w:tcPr>
          <w:p>
            <w:r>
              <w:t>José Paredes Málaga</w:t>
            </w:r>
          </w:p>
        </w:tc>
        <w:tc>
          <w:tcPr>
            <w:tcW w:type="dxa" w:w="2831"/>
          </w:tcPr>
          <w:p>
            <w:r>
              <w:t>Ingeniería de software</w:t>
            </w:r>
          </w:p>
        </w:tc>
        <w:tc>
          <w:tcPr>
            <w:tcW w:type="dxa" w:w="2832"/>
          </w:tcPr>
          <w:p>
            <w:r>
              <w:t>Requisitos, arquitectura del prototipo y desarrollo de integraciones.</w:t>
            </w:r>
          </w:p>
        </w:tc>
      </w:tr>
      <w:tr>
        <w:tc>
          <w:tcPr>
            <w:tcW w:type="dxa" w:w="2831"/>
          </w:tcPr>
          <w:p>
            <w:r>
              <w:t>Kenny Borja Valencia</w:t>
            </w:r>
          </w:p>
        </w:tc>
        <w:tc>
          <w:tcPr>
            <w:tcW w:type="dxa" w:w="2831"/>
          </w:tcPr>
          <w:p>
            <w:r>
              <w:t>Experiencia de usuario</w:t>
            </w:r>
          </w:p>
        </w:tc>
        <w:tc>
          <w:tcPr>
            <w:tcW w:type="dxa" w:w="2832"/>
          </w:tcPr>
          <w:p>
            <w:r>
              <w:t>Flujos conversacionales, interfaz y pruebas de usabilidad.</w:t>
            </w:r>
          </w:p>
        </w:tc>
      </w:tr>
      <w:tr>
        <w:tc>
          <w:tcPr>
            <w:tcW w:type="dxa" w:w="2831"/>
          </w:tcPr>
          <w:p>
            <w:r>
              <w:t>Johan Fabricio Lizarve Mamani</w:t>
            </w:r>
          </w:p>
        </w:tc>
        <w:tc>
          <w:tcPr>
            <w:tcW w:type="dxa" w:w="2831"/>
          </w:tcPr>
          <w:p>
            <w:r>
              <w:t>Datos y calidad</w:t>
            </w:r>
          </w:p>
        </w:tc>
        <w:tc>
          <w:tcPr>
            <w:tcW w:type="dxa" w:w="2832"/>
          </w:tcPr>
          <w:p>
            <w:r>
              <w:t>Catálogo, pruebas de clasificación, métricas y documentación.</w:t>
            </w:r>
          </w:p>
        </w:tc>
      </w:tr>
      <w:tr>
        <w:tc>
          <w:tcPr>
            <w:tcW w:type="dxa" w:w="2831"/>
          </w:tcPr>
          <w:p>
            <w:r>
              <w:t>Asistente farmacéutica</w:t>
            </w:r>
          </w:p>
        </w:tc>
        <w:tc>
          <w:tcPr>
            <w:tcW w:type="dxa" w:w="2831"/>
          </w:tcPr>
          <w:p>
            <w:r>
              <w:t>Operación de botica</w:t>
            </w:r>
          </w:p>
        </w:tc>
        <w:tc>
          <w:tcPr>
            <w:tcW w:type="dxa" w:w="2832"/>
          </w:tcPr>
          <w:p>
            <w:r>
              <w:t>Casos frecuentes, vocabulario de clientes y validación operativa.</w:t>
            </w:r>
          </w:p>
        </w:tc>
      </w:tr>
      <w:tr>
        <w:tc>
          <w:tcPr>
            <w:tcW w:type="dxa" w:w="2831"/>
          </w:tcPr>
          <w:p>
            <w:r>
              <w:t>Químico farmacéutico</w:t>
            </w:r>
          </w:p>
        </w:tc>
        <w:tc>
          <w:tcPr>
            <w:tcW w:type="dxa" w:w="2831"/>
          </w:tcPr>
          <w:p>
            <w:r>
              <w:t>Responsabilidad sanitaria</w:t>
            </w:r>
          </w:p>
        </w:tc>
        <w:tc>
          <w:tcPr>
            <w:tcW w:type="dxa" w:w="2832"/>
          </w:tcPr>
          <w:p>
            <w:r>
              <w:t>Criterios de derivación y revisión de casos profesionales.</w:t>
            </w:r>
          </w:p>
        </w:tc>
      </w:tr>
    </w:tbl>
    <w:p w14:paraId="45B85519" w14:textId="77777777" w:rsidR="00B862C1" w:rsidRPr="00B862C1" w:rsidRDefault="00B862C1" w:rsidP="00B862C1"/>
    <w:p w14:paraId="4E0772A3" w14:textId="1B085159" w:rsidR="00B862C1" w:rsidRPr="00B862C1" w:rsidRDefault="00B862C1" w:rsidP="00B862C1">
      <w:r w:rsidRPr="00B862C1">
        <w:t xml:space="preserve">CAPITULO 2: </w:t>
      </w:r>
      <w:r w:rsidR="001C5BB9">
        <w:t>MARCO TEÓRICO</w:t>
      </w:r>
    </w:p>
    <w:p w14:paraId="59FB69FD" w14:textId="1139B59D" w:rsidR="001A59C5" w:rsidRDefault="00B862C1" w:rsidP="00B862C1">
      <w:r>
        <w:t>FarmaChasqui se fundamenta en la atención conversacional, el diseño centrado en las personas y la seguridad en el uso de medicamentos. Un chatbot interpreta una consulta y responde mediante reglas y datos autorizados; en este proyecto sus respuestas se limitan al catálogo de la botica y a la gestión de pedidos permitidos. La seguridad exige diferenciar información comercial de una recomendación terapéutica. Por ello, las consultas sobre receta, dosis, interacciones, síntomas de alarma o tratamiento se derivan a un profesional. La condición de venta se obtiene del catálogo validado por la botica: los productos de venta sin receta pueden informar presentación, precio y disponibilidad; los productos sujetos a receta no se confirman automáticamente. El tratamiento de datos se limita a lo necesario para la consulta o pedido, siguiendo la Ley N.° 29733 y su reglamento vigente.</w:t>
      </w:r>
    </w:p>
    <w:p w14:paraId="758574BB" w14:textId="77777777" w:rsidR="001A59C5" w:rsidRDefault="001A59C5" w:rsidP="00B862C1"/>
    <w:p w14:paraId="6F159E38" w14:textId="1C8D5869" w:rsidR="00B862C1" w:rsidRPr="00B862C1" w:rsidRDefault="00B862C1" w:rsidP="00B862C1">
      <w:r w:rsidRPr="00B862C1">
        <w:t>CAPÍTULO 3: METODOLOGÍA</w:t>
      </w:r>
    </w:p>
    <w:p w14:paraId="2B63BC16" w14:textId="77777777" w:rsidR="00B862C1" w:rsidRPr="00B862C1" w:rsidRDefault="00B862C1" w:rsidP="00B862C1">
      <w:r w:rsidRPr="00B862C1">
        <w:t>Describir:</w:t>
      </w:r>
    </w:p>
    <w:p w14:paraId="2C3367A4" w14:textId="77777777" w:rsidR="00B862C1" w:rsidRPr="00B862C1" w:rsidRDefault="00B862C1" w:rsidP="00B862C1">
      <w:r>
        <w:t>El sistema está orientado a clientes de una botica mediana que realizan consultas rápidas antes de visitar el local o solicitar un pedido, y al personal que actualmente responde esas consultas. La validación inicial utilizará participantes adultos y escenarios simulados, sin pedidos reales ni datos clínicos.</w:t>
      </w:r>
    </w:p>
    <w:p w14:paraId="4B1BDBA4" w14:textId="70AC65F2" w:rsidR="00B862C1" w:rsidRDefault="00B862C1" w:rsidP="00B862C1">
      <w:r>
        <w:t>La arquitectura considera: un canal conversacional web o de mensajería; un orquestador que identifica la intención; un catálogo con presentación, precio, disponibilidad y condición de venta; un motor de reglas que decide si corresponde informar, registrar una solicitud preliminar o derivar; un panel para el químico farmacéutico; y un registro mínimo de auditoría. La API conecta estos componentes y el catálogo es la única fuente para información comercial.</w:t>
      </w:r>
    </w:p>
    <w:p w14:paraId="58B22678" w14:textId="487EAE7C" w:rsidR="00632904" w:rsidRDefault="00632904" w:rsidP="00B862C1">
      <w:r>
        <w:t>Se realizará una prueba piloto con 8 a 12 participantes adultos y una revisión de escenarios por parte del personal de la botica. Las tareas simuladas serán buscar un producto, consultar precio, verificar disponibilidad, iniciar un pedido permitido y solicitar un medicamento que requiere derivación. Se compararán éxito de tarea, tiempo, errores de comprensión y percepción de facilidad. El químico farmacéutico verificará que todos los casos críticos terminen en derivación.</w:t>
      </w:r>
    </w:p>
    <w:p w14:paraId="643945DE" w14:textId="43AF5783" w:rsidR="00632904" w:rsidRDefault="00632904" w:rsidP="00B862C1">
      <w:r>
        <w:t>Las métricas serán: éxito de tarea (meta inicial: 80 % o más), tiempo de respuesta del catálogo (menos de 3 segundos en pruebas locales), precisión de clasificación (90 % o más), derivación segura de los casos críticos simulados (100 %) y usabilidad percibida mediante SUS o encuesta equivalente (70/100 o más).</w:t>
      </w:r>
    </w:p>
    <w:p w14:paraId="055C9C2E" w14:textId="2100F9EE" w:rsidR="001C5BB9" w:rsidRDefault="001C5BB9" w:rsidP="00B862C1">
      <w:r>
        <w:t>Se emplearán Figma o equivalente para prototipos, un frontend web responsivo, una API REST, base de datos relacional, control de acceso por roles, Git para control de versiones y una hoja de pruebas con consentimiento para los participantes.</w:t>
      </w:r>
    </w:p>
    <w:p w14:paraId="70E95D5F" w14:textId="77777777" w:rsidR="001A59C5" w:rsidRDefault="001A59C5" w:rsidP="00B862C1"/>
    <w:p w14:paraId="476E9E84" w14:textId="053F854C" w:rsidR="00632904" w:rsidRDefault="00632904" w:rsidP="00B862C1">
      <w:r>
        <w:t>CAPÍTULO 4: DISEÑO DEL PROTOTIPO</w:t>
      </w:r>
    </w:p>
    <w:p w14:paraId="3F58DBFE" w14:textId="4A9B44E9" w:rsidR="00632904" w:rsidRDefault="00632904" w:rsidP="00632904">
      <w:pPr>
        <w:pStyle w:val="Prrafodelista"/>
        <w:numPr>
          <w:ilvl w:val="0"/>
          <w:numId w:val="1"/>
        </w:numPr>
      </w:pPr>
      <w:r>
        <w:t>Cronograma de actividades</w:t>
      </w:r>
    </w:p>
    <w:p>
      <w:pPr>
        <w:spacing w:after="120"/>
      </w:pPr>
      <w:r>
        <w:t>Cronograma tentativo: semanas 1 y 2, requisitos y reglas; semanas 3 y 4, diseño conversacional y prototipos; semanas 5 y 6, catálogo y backend; semanas 7 y 8, implementación del chatbot; semana 9, pruebas de usabilidad y seguridad; semana 10, documentación, póster y demostración.</w:t>
      </w:r>
    </w:p>
    <w:p w14:paraId="022FAFEC" w14:textId="31B540D6" w:rsidR="00632904" w:rsidRDefault="00632904" w:rsidP="00632904">
      <w:pPr>
        <w:pStyle w:val="Prrafodelista"/>
        <w:numPr>
          <w:ilvl w:val="0"/>
          <w:numId w:val="1"/>
        </w:numPr>
      </w:pPr>
      <w:r>
        <w:t xml:space="preserve">Evidencias de su avance </w:t>
      </w:r>
    </w:p>
    <w:p>
      <w:pPr>
        <w:spacing w:after="120"/>
      </w:pPr>
      <w:r>
        <w:t>Evidencias iniciales: propuesta aprobada; definición del problema, alcance y roles; reglas de derivación y metodología descritas en este informe. Evidencias pendientes: capturas de los flujos, prototipo navegable, matriz de pruebas, registro de decisiones farmacéuticas y resultados de la prueba piloto.</w:t>
      </w:r>
    </w:p>
    <w:p w14:paraId="3738EB76" w14:textId="6A68F39D" w:rsidR="00A84BC0" w:rsidRDefault="00632904" w:rsidP="001A59C5">
      <w:pPr>
        <w:pStyle w:val="Prrafodelista"/>
        <w:numPr>
          <w:ilvl w:val="0"/>
          <w:numId w:val="1"/>
        </w:numPr>
      </w:pPr>
      <w:r>
        <w:t>Porcentaje de su avance (pesimista, no es grave que estén en 10%, pero servirá para dirigir su trabajo futuro)</w:t>
      </w:r>
    </w:p>
    <w:p>
      <w:pPr>
        <w:spacing w:after="120"/>
      </w:pPr>
      <w:r>
        <w:t>Avance inicial estimado: 10 %. El porcentaje corresponde a la definición del problema, planteamiento funcional, asignación de roles y diseño metodológico. Aún faltan la implementación, la validación con usuarios y la revisión final por el químico farmacéutico.</w:t>
      </w:r>
    </w:p>
    <w:p w14:paraId="01E33A48" w14:textId="77777777" w:rsidR="001A59C5" w:rsidRDefault="001A59C5" w:rsidP="001A59C5"/>
    <w:p w14:paraId="65D6AEA7" w14:textId="6FF0BF2E" w:rsidR="001A59C5" w:rsidRDefault="001A59C5" w:rsidP="001A59C5">
      <w:r>
        <w:t>BIBLIOGRAFÍA</w:t>
      </w:r>
    </w:p>
    <w:p>
      <w:r>
        <w:t>Autoridad Nacional de Protección de Datos Personales. (2024). Decreto Supremo N.° 016-2024-JUS: Reglamento de la Ley N.° 29733. https://www.gob.pe/institucion/anpd/normas-legales/6554453-16-2024-jus</w:t>
      </w:r>
    </w:p>
    <w:p>
      <w:r>
        <w:t>Dirección General de Medicamentos, Insumos y Drogas. (s. f.). Venta sin receta. https://www.digemid.minsa.gob.pe/webDigemid/registro-sanitario/productos-farmaceuticos/venta-sin-receta/</w:t>
      </w:r>
    </w:p>
    <w:p>
      <w:r>
        <w:t>Ministerio de Salud del Perú. (2011). Decreto Supremo N.° 014-2011-SA: Reglamento de Establecimientos Farmacéuticos. https://www.gob.pe/institucion/minsa/normas-legales/243288-014-2011-sa</w:t>
      </w:r>
    </w:p>
    <w:p>
      <w:r>
        <w:t>Ministerio de Salud del Perú. (2024). Farmacias y boticas deben exigir receta antes de vender medicamentos que requieren prescripción médica. https://www.gob.pe/institucion/minsa/noticias/962205-farmacias-y-boticas-deben-exigir-receta-antes-de-vender-medicamentos-que-requieren-prescripcion-medica</w:t>
      </w:r>
    </w:p>
    <w:p>
      <w:r>
        <w:t>World Health Organization. (2024). Medication without harm: Policy brief. https://www.who.int/publications/i/item/9789240062764</w:t>
      </w:r>
    </w:p>
    <w:sectPr w:rsidR="001A5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78C9"/>
    <w:multiLevelType w:val="hybridMultilevel"/>
    <w:tmpl w:val="2626FCE8"/>
    <w:lvl w:ilvl="0" w:tplc="9940CF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C1"/>
    <w:rsid w:val="001A59C5"/>
    <w:rsid w:val="001C5BB9"/>
    <w:rsid w:val="004E099C"/>
    <w:rsid w:val="004F799E"/>
    <w:rsid w:val="00632904"/>
    <w:rsid w:val="00A84BC0"/>
    <w:rsid w:val="00AC3C14"/>
    <w:rsid w:val="00B862C1"/>
    <w:rsid w:val="00D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68669"/>
  <w15:chartTrackingRefBased/>
  <w15:docId w15:val="{3E42DD97-E805-437B-B5F8-A41FF537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2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2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2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2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2C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FarmaChasqui</dc:title>
  <dc:subject>Proyecto final de trabajo interdisciplinar</dc:subject>
  <dc:creator>José Paredes Málaga; Kenny Borja Valencia; Johan Fabricio Lizarve Mamani</dc:creator>
  <cp:keywords/>
  <dc:description/>
  <cp:lastModifiedBy>Carlos Atencio</cp:lastModifiedBy>
  <cp:revision>3</cp:revision>
  <dcterms:created xsi:type="dcterms:W3CDTF">2026-09-25T17:11:00Z</dcterms:created>
  <dcterms:modified xsi:type="dcterms:W3CDTF">2026-09-25T17:43:00Z</dcterms:modified>
</cp:coreProperties>
</file>